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Technical Requirements Specification</w:t>
      </w:r>
    </w:p>
    <w:p>
      <w:pPr>
        <w:jc w:val="center"/>
      </w:pPr>
      <w:r>
        <w:rPr>
          <w:b/>
          <w:sz w:val="28"/>
        </w:rPr>
        <w:t>Reusable SaaS Platform Boilerplate</w:t>
      </w:r>
    </w:p>
    <w:p>
      <w:pPr>
        <w:jc w:val="center"/>
      </w:pPr>
      <w:r>
        <w:t>Next.js · NestJS · MongoDB · Firebase · Razorpay · OpenTelemetry</w:t>
      </w:r>
    </w:p>
    <w:p/>
    <w:p>
      <w:pPr>
        <w:pStyle w:val="Heading1"/>
      </w:pPr>
      <w:r>
        <w:rPr>
          <w:color w:val="102838"/>
        </w:rPr>
        <w:t>Purpose</w:t>
      </w:r>
    </w:p>
    <w:p>
      <w:r>
        <w:t>This specification defines a reusable platform that is cloned into each new client application. It must be production-capable before any client-specific entity or business rule is added. A new project changes configuration, enables prepared adapters and adds domain modules; it does not rebuild authentication, tenancy, permissions, billing, notifications, reporting or audit.</w:t>
      </w:r>
    </w:p>
    <w:p>
      <w:pPr>
        <w:pStyle w:val="Heading1"/>
      </w:pPr>
      <w:r>
        <w:rPr>
          <w:color w:val="102838"/>
        </w:rPr>
        <w:t>Deployment shape</w:t>
      </w:r>
    </w:p>
    <w:p>
      <w:r>
        <w:t>The application ships as a single container image containing the Next.js frontend and the NestJS backend, started by a process supervisor and configured entirely through environment variables. One image, one deployable unit.</w:t>
      </w:r>
    </w:p>
    <w:p>
      <w:r>
        <w:t>MongoDB runs outside the image. This is deliberate: transactions back the outbox and the idempotency guarantees, so the database must be a replica set, and its data must survive the container being replaced. The image is stateless; the database is not part of it.</w:t>
      </w:r>
    </w:p>
    <w:p>
      <w:r>
        <w:t>Background work runs inside the same image as a supervised worker process. If queue volume later justifies independent scaling, the worker can be started from the same image with a different command - no second image is required.</w:t>
      </w:r>
    </w:p>
    <w:p>
      <w:pPr>
        <w:pStyle w:val="Heading1"/>
      </w:pPr>
      <w:r>
        <w:rPr>
          <w:color w:val="102838"/>
        </w:rPr>
        <w:t>Scope boundary</w:t>
      </w:r>
    </w:p>
    <w:p>
      <w:r>
        <w:t>In scope:</w:t>
      </w:r>
    </w:p>
    <w:p>
      <w:pPr>
        <w:pStyle w:val="ListBullet"/>
      </w:pPr>
      <w:r>
        <w:t>Authentication through Firebase (Google sign-in and mobile OTP), with platform-owned sessions and account state.</w:t>
      </w:r>
    </w:p>
    <w:p>
      <w:pPr>
        <w:pStyle w:val="ListBullet"/>
      </w:pPr>
      <w:r>
        <w:t>Tenancy, five-role RBAC, users, memberships and reseller isolation.</w:t>
      </w:r>
    </w:p>
    <w:p>
      <w:pPr>
        <w:pStyle w:val="ListBullet"/>
      </w:pPr>
      <w:r>
        <w:t>A CRUD foundation with listing, search, bulk operations and custom fields.</w:t>
      </w:r>
    </w:p>
    <w:p>
      <w:pPr>
        <w:pStyle w:val="ListBullet"/>
      </w:pPr>
      <w:r>
        <w:t>Billing: plans, subscriptions, usage, invoices, Razorpay payments and refund requests.</w:t>
      </w:r>
    </w:p>
    <w:p>
      <w:pPr>
        <w:pStyle w:val="ListBullet"/>
      </w:pPr>
      <w:r>
        <w:t>Transactions and a single- or multi-step workflow engine.</w:t>
      </w:r>
    </w:p>
    <w:p>
      <w:pPr>
        <w:pStyle w:val="ListBullet"/>
      </w:pPr>
      <w:r>
        <w:t>A business rules manager and scoring engines with leaderboards.</w:t>
      </w:r>
    </w:p>
    <w:p>
      <w:pPr>
        <w:pStyle w:val="ListBullet"/>
      </w:pPr>
      <w:r>
        <w:t>Notifications across in-app, email, SMS and push.</w:t>
      </w:r>
    </w:p>
    <w:p>
      <w:pPr>
        <w:pStyle w:val="ListBullet"/>
      </w:pPr>
      <w:r>
        <w:t>Support requests, reports and dashboards, and an external integrations manager.</w:t>
      </w:r>
    </w:p>
    <w:p>
      <w:pPr>
        <w:pStyle w:val="ListBullet"/>
      </w:pPr>
      <w:r>
        <w:t>Audit, observability through OpenTelemetry, and the operational surface.</w:t>
      </w:r>
    </w:p>
    <w:p>
      <w:r>
        <w:t>Out of scope:</w:t>
      </w:r>
    </w:p>
    <w:p>
      <w:pPr>
        <w:pStyle w:val="ListBullet"/>
      </w:pPr>
      <w:r>
        <w:t>Client-specific domain entities, calculations and industry workflows.</w:t>
      </w:r>
    </w:p>
    <w:p>
      <w:pPr>
        <w:pStyle w:val="ListBullet"/>
      </w:pPr>
      <w:r>
        <w:t>A full accounting ledger, tax filing, payroll or banking core.</w:t>
      </w:r>
    </w:p>
    <w:p>
      <w:pPr>
        <w:pStyle w:val="ListBullet"/>
      </w:pPr>
      <w:r>
        <w:t>Final visual design of client-specific screens.</w:t>
      </w:r>
    </w:p>
    <w:p>
      <w:pPr>
        <w:pStyle w:val="ListBullet"/>
      </w:pPr>
      <w:r>
        <w:t>Production deployment and entry of real credentials.</w:t>
      </w:r>
    </w:p>
    <w:p>
      <w:pPr>
        <w:pStyle w:val="Heading1"/>
      </w:pPr>
      <w:r>
        <w:rPr>
          <w:color w:val="102838"/>
        </w:rPr>
        <w:t>How to read a requirement</w:t>
      </w:r>
    </w:p>
    <w:p>
      <w:r>
        <w:t>Every requirement carries an identifier, a statement and an acceptance line. The acceptance line is the contract: it states what must be demonstrated for the requirement to be considered met. A requirement is not complete because code exists - it is complete when its acceptance line is proven by an automated test.</w:t>
      </w:r>
    </w:p>
    <w:p>
      <w:r>
        <w:br w:type="page"/>
      </w:r>
    </w:p>
    <w:p>
      <w:pPr>
        <w:pStyle w:val="Heading1"/>
      </w:pPr>
      <w:r>
        <w:rPr>
          <w:color w:val="102838"/>
        </w:rPr>
        <w:t>Requirements</w:t>
      </w:r>
    </w:p>
    <w:p>
      <w:pPr>
        <w:pStyle w:val="Heading2"/>
      </w:pPr>
      <w:r>
        <w:rPr>
          <w:color w:val="102838"/>
        </w:rPr>
        <w:t>1. Platform foundation</w:t>
      </w:r>
    </w:p>
    <w:p>
      <w:r>
        <w:t>Cross-cutting rules every module inherits. These are not optional and are validated by tests that run in CI.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CORE-001</w:t>
            </w:r>
          </w:p>
        </w:tc>
        <w:tc>
          <w:tcPr>
            <w:tcW w:type="dxa" w:w="2880"/>
          </w:tcPr>
          <w:p>
            <w:r>
              <w:t>Correlation identifier</w:t>
              <w:br/>
              <w:t>Every request receives a correlation ID propagated to logs, jobs, outbound integrations and audit events.</w:t>
            </w:r>
          </w:p>
        </w:tc>
        <w:tc>
          <w:tcPr>
            <w:tcW w:type="dxa" w:w="2880"/>
          </w:tcPr>
          <w:p>
            <w:r>
              <w:t>One identifier traces a request across API, worker and provider logs.</w:t>
            </w:r>
          </w:p>
        </w:tc>
      </w:tr>
      <w:tr>
        <w:tc>
          <w:tcPr>
            <w:tcW w:type="dxa" w:w="2880"/>
          </w:tcPr>
          <w:p>
            <w:r>
              <w:t>CORE-002</w:t>
            </w:r>
          </w:p>
        </w:tc>
        <w:tc>
          <w:tcPr>
            <w:tcW w:type="dxa" w:w="2880"/>
          </w:tcPr>
          <w:p>
            <w:r>
              <w:t>Tenant context required</w:t>
              <w:br/>
              <w:t>All tenant-owned operations resolve a tenant context before any repository access. Tenant identity is never read from a request body.</w:t>
            </w:r>
          </w:p>
        </w:tc>
        <w:tc>
          <w:tcPr>
            <w:tcW w:type="dxa" w:w="2880"/>
          </w:tcPr>
          <w:p>
            <w:r>
              <w:t>Requests without a resolved tenant are rejected; a body-supplied tenantId is refused rather than ignored.</w:t>
            </w:r>
          </w:p>
        </w:tc>
      </w:tr>
      <w:tr>
        <w:tc>
          <w:tcPr>
            <w:tcW w:type="dxa" w:w="2880"/>
          </w:tcPr>
          <w:p>
            <w:r>
              <w:t>CORE-003</w:t>
            </w:r>
          </w:p>
        </w:tc>
        <w:tc>
          <w:tcPr>
            <w:tcW w:type="dxa" w:w="2880"/>
          </w:tcPr>
          <w:p>
            <w:r>
              <w:t>Idempotency</w:t>
              <w:br/>
              <w:t>Write endpoints whose retry could duplicate a financial, usage or notification effect accept an idempotency key.</w:t>
            </w:r>
          </w:p>
        </w:tc>
        <w:tc>
          <w:tcPr>
            <w:tcW w:type="dxa" w:w="2880"/>
          </w:tcPr>
          <w:p>
            <w:r>
              <w:t>Reusing a key returns the original outcome and creates no second record.</w:t>
            </w:r>
          </w:p>
        </w:tc>
      </w:tr>
      <w:tr>
        <w:tc>
          <w:tcPr>
            <w:tcW w:type="dxa" w:w="2880"/>
          </w:tcPr>
          <w:p>
            <w:r>
              <w:t>CORE-004</w:t>
            </w:r>
          </w:p>
        </w:tc>
        <w:tc>
          <w:tcPr>
            <w:tcW w:type="dxa" w:w="2880"/>
          </w:tcPr>
          <w:p>
            <w:r>
              <w:t>Input validation</w:t>
              <w:br/>
              <w:t>All input passes a global validation pipe with an allowlist; unknown fields are rejected.</w:t>
            </w:r>
          </w:p>
        </w:tc>
        <w:tc>
          <w:tcPr>
            <w:tcW w:type="dxa" w:w="2880"/>
          </w:tcPr>
          <w:p>
            <w:r>
              <w:t>An unknown field returns a documented validation error, not a silent drop.</w:t>
            </w:r>
          </w:p>
        </w:tc>
      </w:tr>
      <w:tr>
        <w:tc>
          <w:tcPr>
            <w:tcW w:type="dxa" w:w="2880"/>
          </w:tcPr>
          <w:p>
            <w:r>
              <w:t>CORE-005</w:t>
            </w:r>
          </w:p>
        </w:tc>
        <w:tc>
          <w:tcPr>
            <w:tcW w:type="dxa" w:w="2880"/>
          </w:tcPr>
          <w:p>
            <w:r>
              <w:t>Error envelope</w:t>
              <w:br/>
              <w:t>One versioned error envelope carries code, message, correlation ID and optional field errors.</w:t>
            </w:r>
          </w:p>
        </w:tc>
        <w:tc>
          <w:tcPr>
            <w:tcW w:type="dxa" w:w="2880"/>
          </w:tcPr>
          <w:p>
            <w:r>
              <w:t>Clients receive the same shape for 4xx and 5xx across every module.</w:t>
            </w:r>
          </w:p>
        </w:tc>
      </w:tr>
      <w:tr>
        <w:tc>
          <w:tcPr>
            <w:tcW w:type="dxa" w:w="2880"/>
          </w:tcPr>
          <w:p>
            <w:r>
              <w:t>CORE-006</w:t>
            </w:r>
          </w:p>
        </w:tc>
        <w:tc>
          <w:tcPr>
            <w:tcW w:type="dxa" w:w="2880"/>
          </w:tcPr>
          <w:p>
            <w:r>
              <w:t>Money representation</w:t>
              <w:br/>
              <w:t>Money is stored as integer minor units with an ISO currency code. Floating-point money is prohibited.</w:t>
            </w:r>
          </w:p>
        </w:tc>
        <w:tc>
          <w:tcPr>
            <w:tcW w:type="dxa" w:w="2880"/>
          </w:tcPr>
          <w:p>
            <w:r>
              <w:t>Billing tests operate in paise with no rounding drift across many lines.</w:t>
            </w:r>
          </w:p>
        </w:tc>
      </w:tr>
      <w:tr>
        <w:tc>
          <w:tcPr>
            <w:tcW w:type="dxa" w:w="2880"/>
          </w:tcPr>
          <w:p>
            <w:r>
              <w:t>CORE-007</w:t>
            </w:r>
          </w:p>
        </w:tc>
        <w:tc>
          <w:tcPr>
            <w:tcW w:type="dxa" w:w="2880"/>
          </w:tcPr>
          <w:p>
            <w:r>
              <w:t>Time representation</w:t>
              <w:br/>
              <w:t>Timestamps are stored in UTC; tenant and user time zones apply only at presentation and scheduling boundaries.</w:t>
            </w:r>
          </w:p>
        </w:tc>
        <w:tc>
          <w:tcPr>
            <w:tcW w:type="dxa" w:w="2880"/>
          </w:tcPr>
          <w:p>
            <w:r>
              <w:t>Scheduled work resolves the configured zone correctly across a DST change.</w:t>
            </w:r>
          </w:p>
        </w:tc>
      </w:tr>
      <w:tr>
        <w:tc>
          <w:tcPr>
            <w:tcW w:type="dxa" w:w="2880"/>
          </w:tcPr>
          <w:p>
            <w:r>
              <w:t>CORE-008</w:t>
            </w:r>
          </w:p>
        </w:tc>
        <w:tc>
          <w:tcPr>
            <w:tcW w:type="dxa" w:w="2880"/>
          </w:tcPr>
          <w:p>
            <w:r>
              <w:t>Transactional outbox</w:t>
              <w:br/>
              <w:t>Writes needing asynchronous side effects append to an outbox inside the same database transaction.</w:t>
            </w:r>
          </w:p>
        </w:tc>
        <w:tc>
          <w:tcPr>
            <w:tcW w:type="dxa" w:w="2880"/>
          </w:tcPr>
          <w:p>
            <w:r>
              <w:t>A simulated worker outage loses no side effect; replay creates no duplicate.</w:t>
            </w:r>
          </w:p>
        </w:tc>
      </w:tr>
      <w:tr>
        <w:tc>
          <w:tcPr>
            <w:tcW w:type="dxa" w:w="2880"/>
          </w:tcPr>
          <w:p>
            <w:r>
              <w:t>CORE-009</w:t>
            </w:r>
          </w:p>
        </w:tc>
        <w:tc>
          <w:tcPr>
            <w:tcW w:type="dxa" w:w="2880"/>
          </w:tcPr>
          <w:p>
            <w:r>
              <w:t>Soft deletion</w:t>
              <w:br/>
              <w:t>Soft deletion is the default for user-managed records. Financial, payment and audit records are never hard-deleted.</w:t>
            </w:r>
          </w:p>
        </w:tc>
        <w:tc>
          <w:tcPr>
            <w:tcW w:type="dxa" w:w="2880"/>
          </w:tcPr>
          <w:p>
            <w:r>
              <w:t>Restore works where permitted; protected records refuse deletion.</w:t>
            </w:r>
          </w:p>
        </w:tc>
      </w:tr>
      <w:tr>
        <w:tc>
          <w:tcPr>
            <w:tcW w:type="dxa" w:w="2880"/>
          </w:tcPr>
          <w:p>
            <w:r>
              <w:t>CORE-010</w:t>
            </w:r>
          </w:p>
        </w:tc>
        <w:tc>
          <w:tcPr>
            <w:tcW w:type="dxa" w:w="2880"/>
          </w:tcPr>
          <w:p>
            <w:r>
              <w:t>Contract versioning</w:t>
              <w:br/>
              <w:t>Public API and event contracts are versioned and backward-compatible within a major version.</w:t>
            </w:r>
          </w:p>
        </w:tc>
        <w:tc>
          <w:tcPr>
            <w:tcW w:type="dxa" w:w="2880"/>
          </w:tcPr>
          <w:p>
            <w:r>
              <w:t>A contract test detects an unintended breaking change.</w:t>
            </w:r>
          </w:p>
        </w:tc>
      </w:tr>
    </w:tbl>
    <w:p/>
    <w:p>
      <w:pPr>
        <w:pStyle w:val="Heading2"/>
      </w:pPr>
      <w:r>
        <w:rPr>
          <w:color w:val="102838"/>
        </w:rPr>
        <w:t>2. Authentication (Firebase)</w:t>
      </w:r>
    </w:p>
    <w:p>
      <w:r>
        <w:t>Google sign-in and mobile OTP are delegated to Firebase. The platform still owns tenancy, roles, sessions and account state - Firebase proves who the user is, not what they may do.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AUTH-001</w:t>
            </w:r>
          </w:p>
        </w:tc>
        <w:tc>
          <w:tcPr>
            <w:tcW w:type="dxa" w:w="2880"/>
          </w:tcPr>
          <w:p>
            <w:r>
              <w:t>Google sign-in</w:t>
              <w:br/>
              <w:t>Users authenticate with Google through Firebase; the platform verifies the Firebase ID token server-side on every exchange.</w:t>
            </w:r>
          </w:p>
        </w:tc>
        <w:tc>
          <w:tcPr>
            <w:tcW w:type="dxa" w:w="2880"/>
          </w:tcPr>
          <w:p>
            <w:r>
              <w:t>A forged or expired token is rejected; a valid one yields a platform session.</w:t>
            </w:r>
          </w:p>
        </w:tc>
      </w:tr>
      <w:tr>
        <w:tc>
          <w:tcPr>
            <w:tcW w:type="dxa" w:w="2880"/>
          </w:tcPr>
          <w:p>
            <w:r>
              <w:t>AUTH-002</w:t>
            </w:r>
          </w:p>
        </w:tc>
        <w:tc>
          <w:tcPr>
            <w:tcW w:type="dxa" w:w="2880"/>
          </w:tcPr>
          <w:p>
            <w:r>
              <w:t>Mobile OTP</w:t>
              <w:br/>
              <w:t>Users authenticate with phone number and OTP through Firebase phone auth.</w:t>
            </w:r>
          </w:p>
        </w:tc>
        <w:tc>
          <w:tcPr>
            <w:tcW w:type="dxa" w:w="2880"/>
          </w:tcPr>
          <w:p>
            <w:r>
              <w:t>OTP issuance is rate-limited per number and per IP; a replayed OTP fails.</w:t>
            </w:r>
          </w:p>
        </w:tc>
      </w:tr>
      <w:tr>
        <w:tc>
          <w:tcPr>
            <w:tcW w:type="dxa" w:w="2880"/>
          </w:tcPr>
          <w:p>
            <w:r>
              <w:t>AUTH-003</w:t>
            </w:r>
          </w:p>
        </w:tc>
        <w:tc>
          <w:tcPr>
            <w:tcW w:type="dxa" w:w="2880"/>
          </w:tcPr>
          <w:p>
            <w:r>
              <w:t>Identity linking</w:t>
              <w:br/>
              <w:t>A Google identity and a phone identity resolve to one platform account when they belong to the same verified user.</w:t>
            </w:r>
          </w:p>
        </w:tc>
        <w:tc>
          <w:tcPr>
            <w:tcW w:type="dxa" w:w="2880"/>
          </w:tcPr>
          <w:p>
            <w:r>
              <w:t>Signing in by either method reaches the same account and its memberships.</w:t>
            </w:r>
          </w:p>
        </w:tc>
      </w:tr>
      <w:tr>
        <w:tc>
          <w:tcPr>
            <w:tcW w:type="dxa" w:w="2880"/>
          </w:tcPr>
          <w:p>
            <w:r>
              <w:t>AUTH-004</w:t>
            </w:r>
          </w:p>
        </w:tc>
        <w:tc>
          <w:tcPr>
            <w:tcW w:type="dxa" w:w="2880"/>
          </w:tcPr>
          <w:p>
            <w:r>
              <w:t>Platform sessions</w:t>
              <w:br/>
              <w:t>The platform issues its own short-lived access token and rotating refresh token; only hashed refresh identifiers are stored.</w:t>
            </w:r>
          </w:p>
        </w:tc>
        <w:tc>
          <w:tcPr>
            <w:tcW w:type="dxa" w:w="2880"/>
          </w:tcPr>
          <w:p>
            <w:r>
              <w:t>Refresh-token reuse revokes the family and records a security event.</w:t>
            </w:r>
          </w:p>
        </w:tc>
      </w:tr>
      <w:tr>
        <w:tc>
          <w:tcPr>
            <w:tcW w:type="dxa" w:w="2880"/>
          </w:tcPr>
          <w:p>
            <w:r>
              <w:t>AUTH-005</w:t>
            </w:r>
          </w:p>
        </w:tc>
        <w:tc>
          <w:tcPr>
            <w:tcW w:type="dxa" w:w="2880"/>
          </w:tcPr>
          <w:p>
            <w:r>
              <w:t>Account states</w:t>
              <w:br/>
              <w:t>Accounts carry invited, active, suspended and archived states.</w:t>
            </w:r>
          </w:p>
        </w:tc>
        <w:tc>
          <w:tcPr>
            <w:tcW w:type="dxa" w:w="2880"/>
          </w:tcPr>
          <w:p>
            <w:r>
              <w:t>A suspended or archived account cannot obtain or refresh a session.</w:t>
            </w:r>
          </w:p>
        </w:tc>
      </w:tr>
      <w:tr>
        <w:tc>
          <w:tcPr>
            <w:tcW w:type="dxa" w:w="2880"/>
          </w:tcPr>
          <w:p>
            <w:r>
              <w:t>AUTH-006</w:t>
            </w:r>
          </w:p>
        </w:tc>
        <w:tc>
          <w:tcPr>
            <w:tcW w:type="dxa" w:w="2880"/>
          </w:tcPr>
          <w:p>
            <w:r>
              <w:t>Session and device management</w:t>
              <w:br/>
              <w:t>Users list their sessions and revoke one or all.</w:t>
            </w:r>
          </w:p>
        </w:tc>
        <w:tc>
          <w:tcPr>
            <w:tcW w:type="dxa" w:w="2880"/>
          </w:tcPr>
          <w:p>
            <w:r>
              <w:t>A revoked session cannot refresh or reach a protected endpoint.</w:t>
            </w:r>
          </w:p>
        </w:tc>
      </w:tr>
      <w:tr>
        <w:tc>
          <w:tcPr>
            <w:tcW w:type="dxa" w:w="2880"/>
          </w:tcPr>
          <w:p>
            <w:r>
              <w:t>AUTH-007</w:t>
            </w:r>
          </w:p>
        </w:tc>
        <w:tc>
          <w:tcPr>
            <w:tcW w:type="dxa" w:w="2880"/>
          </w:tcPr>
          <w:p>
            <w:r>
              <w:t>Provider abstraction</w:t>
              <w:br/>
              <w:t>Firebase sits behind an identity-provider interface so another provider can be added without touching account or session logic.</w:t>
            </w:r>
          </w:p>
        </w:tc>
        <w:tc>
          <w:tcPr>
            <w:tcW w:type="dxa" w:w="2880"/>
          </w:tcPr>
          <w:p>
            <w:r>
              <w:t>A mock provider and Firebase pass the same contract tests.</w:t>
            </w:r>
          </w:p>
        </w:tc>
      </w:tr>
    </w:tbl>
    <w:p/>
    <w:p>
      <w:pPr>
        <w:pStyle w:val="Heading2"/>
      </w:pPr>
      <w:r>
        <w:rPr>
          <w:color w:val="102838"/>
        </w:rPr>
        <w:t>3. Users, tenancy and RBAC</w:t>
      </w:r>
    </w:p>
    <w:p>
      <w:r>
        <w:t>Five roles across a tenant hierarchy: superadmin, admin, enterprise client, reseller and customer. A reseller's customers must never be visible to another reseller.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USR-001</w:t>
            </w:r>
          </w:p>
        </w:tc>
        <w:tc>
          <w:tcPr>
            <w:tcW w:type="dxa" w:w="2880"/>
          </w:tcPr>
          <w:p>
            <w:r>
              <w:t>User lifecycle</w:t>
              <w:br/>
              <w:t>Create, invite, view, update, suspend, reactivate and archive users.</w:t>
            </w:r>
          </w:p>
        </w:tc>
        <w:tc>
          <w:tcPr>
            <w:tcW w:type="dxa" w:w="2880"/>
          </w:tcPr>
          <w:p>
            <w:r>
              <w:t>Each transition requires a permission and emits an audit event.</w:t>
            </w:r>
          </w:p>
        </w:tc>
      </w:tr>
      <w:tr>
        <w:tc>
          <w:tcPr>
            <w:tcW w:type="dxa" w:w="2880"/>
          </w:tcPr>
          <w:p>
            <w:r>
              <w:t>USR-002</w:t>
            </w:r>
          </w:p>
        </w:tc>
        <w:tc>
          <w:tcPr>
            <w:tcW w:type="dxa" w:w="2880"/>
          </w:tcPr>
          <w:p>
            <w:r>
              <w:t>Memberships</w:t>
              <w:br/>
              <w:t>Users hold memberships in tenants and organization units with effective dates and status.</w:t>
            </w:r>
          </w:p>
        </w:tc>
        <w:tc>
          <w:tcPr>
            <w:tcW w:type="dxa" w:w="2880"/>
          </w:tcPr>
          <w:p>
            <w:r>
              <w:t>Removing a membership removes access immediately after cache invalidation.</w:t>
            </w:r>
          </w:p>
        </w:tc>
      </w:tr>
      <w:tr>
        <w:tc>
          <w:tcPr>
            <w:tcW w:type="dxa" w:w="2880"/>
          </w:tcPr>
          <w:p>
            <w:r>
              <w:t>USR-003</w:t>
            </w:r>
          </w:p>
        </w:tc>
        <w:tc>
          <w:tcPr>
            <w:tcW w:type="dxa" w:w="2880"/>
          </w:tcPr>
          <w:p>
            <w:r>
              <w:t>Bulk import</w:t>
              <w:br/>
              <w:t>Users import from CSV as an asynchronous validated job with preview and row-level errors.</w:t>
            </w:r>
          </w:p>
        </w:tc>
        <w:tc>
          <w:tcPr>
            <w:tcW w:type="dxa" w:w="2880"/>
          </w:tcPr>
          <w:p>
            <w:r>
              <w:t>A failed row does not corrupt successful rows; duplicate policy is explicit.</w:t>
            </w:r>
          </w:p>
        </w:tc>
      </w:tr>
      <w:tr>
        <w:tc>
          <w:tcPr>
            <w:tcW w:type="dxa" w:w="2880"/>
          </w:tcPr>
          <w:p>
            <w:r>
              <w:t>RBAC-001</w:t>
            </w:r>
          </w:p>
        </w:tc>
        <w:tc>
          <w:tcPr>
            <w:tcW w:type="dxa" w:w="2880"/>
          </w:tcPr>
          <w:p>
            <w:r>
              <w:t>Permission catalogue</w:t>
              <w:br/>
              <w:t>A central catalogue registers every permission with a stable identifier. Startup fails when a role references an unknown permission.</w:t>
            </w:r>
          </w:p>
        </w:tc>
        <w:tc>
          <w:tcPr>
            <w:tcW w:type="dxa" w:w="2880"/>
          </w:tcPr>
          <w:p>
            <w:r>
              <w:t>Booting with a typo in a role definition aborts with an actionable error.</w:t>
            </w:r>
          </w:p>
        </w:tc>
      </w:tr>
      <w:tr>
        <w:tc>
          <w:tcPr>
            <w:tcW w:type="dxa" w:w="2880"/>
          </w:tcPr>
          <w:p>
            <w:r>
              <w:t>RBAC-002</w:t>
            </w:r>
          </w:p>
        </w:tc>
        <w:tc>
          <w:tcPr>
            <w:tcW w:type="dxa" w:w="2880"/>
          </w:tcPr>
          <w:p>
            <w:r>
              <w:t>Role hierarchy</w:t>
              <w:br/>
              <w:t>Superadmin, admin, enterprise client, reseller and customer are seeded roles with documented scopes.</w:t>
            </w:r>
          </w:p>
        </w:tc>
        <w:tc>
          <w:tcPr>
            <w:tcW w:type="dxa" w:w="2880"/>
          </w:tcPr>
          <w:p>
            <w:r>
              <w:t>Each role's permission set is asserted by an authorization matrix test.</w:t>
            </w:r>
          </w:p>
        </w:tc>
      </w:tr>
      <w:tr>
        <w:tc>
          <w:tcPr>
            <w:tcW w:type="dxa" w:w="2880"/>
          </w:tcPr>
          <w:p>
            <w:r>
              <w:t>RBAC-003</w:t>
            </w:r>
          </w:p>
        </w:tc>
        <w:tc>
          <w:tcPr>
            <w:tcW w:type="dxa" w:w="2880"/>
          </w:tcPr>
          <w:p>
            <w:r>
              <w:t>Scope isolation</w:t>
              <w:br/>
              <w:t>A tenant-scoped grant can never satisfy a platform-scoped permission.</w:t>
            </w:r>
          </w:p>
        </w:tc>
        <w:tc>
          <w:tcPr>
            <w:tcW w:type="dxa" w:w="2880"/>
          </w:tcPr>
          <w:p>
            <w:r>
              <w:t>A user holding every tenant permission is still refused a platform operation.</w:t>
            </w:r>
          </w:p>
        </w:tc>
      </w:tr>
      <w:tr>
        <w:tc>
          <w:tcPr>
            <w:tcW w:type="dxa" w:w="2880"/>
          </w:tcPr>
          <w:p>
            <w:r>
              <w:t>RBAC-004</w:t>
            </w:r>
          </w:p>
        </w:tc>
        <w:tc>
          <w:tcPr>
            <w:tcW w:type="dxa" w:w="2880"/>
          </w:tcPr>
          <w:p>
            <w:r>
              <w:t>Reseller isolation</w:t>
              <w:br/>
              <w:t>A reseller sees only their own customers; two resellers with identically named customers remain isolated.</w:t>
            </w:r>
          </w:p>
        </w:tc>
        <w:tc>
          <w:tcPr>
            <w:tcW w:type="dxa" w:w="2880"/>
          </w:tcPr>
          <w:p>
            <w:r>
              <w:t>A cross-reseller read returns nothing, not a filtered subset.</w:t>
            </w:r>
          </w:p>
        </w:tc>
      </w:tr>
      <w:tr>
        <w:tc>
          <w:tcPr>
            <w:tcW w:type="dxa" w:w="2880"/>
          </w:tcPr>
          <w:p>
            <w:r>
              <w:t>RBAC-005</w:t>
            </w:r>
          </w:p>
        </w:tc>
        <w:tc>
          <w:tcPr>
            <w:tcW w:type="dxa" w:w="2880"/>
          </w:tcPr>
          <w:p>
            <w:r>
              <w:t>Dual enforcement</w:t>
              <w:br/>
              <w:t>Permissions are enforced in route guards and again in sensitive service and repository operations.</w:t>
            </w:r>
          </w:p>
        </w:tc>
        <w:tc>
          <w:tcPr>
            <w:tcW w:type="dxa" w:w="2880"/>
          </w:tcPr>
          <w:p>
            <w:r>
              <w:t>Calling a service outside an HTTP controller cannot bypass authorization.</w:t>
            </w:r>
          </w:p>
        </w:tc>
      </w:tr>
      <w:tr>
        <w:tc>
          <w:tcPr>
            <w:tcW w:type="dxa" w:w="2880"/>
          </w:tcPr>
          <w:p>
            <w:r>
              <w:t>RBAC-006</w:t>
            </w:r>
          </w:p>
        </w:tc>
        <w:tc>
          <w:tcPr>
            <w:tcW w:type="dxa" w:w="2880"/>
          </w:tcPr>
          <w:p>
            <w:r>
              <w:t>Ownership scopes</w:t>
              <w:br/>
              <w:t>Ownership rules cover own, team, organization-unit and all-tenant scopes, compiled into the database query itself.</w:t>
            </w:r>
          </w:p>
        </w:tc>
        <w:tc>
          <w:tcPr>
            <w:tcW w:type="dxa" w:w="2880"/>
          </w:tcPr>
          <w:p>
            <w:r>
              <w:t>A scoped user never loads records they may not see.</w:t>
            </w:r>
          </w:p>
        </w:tc>
      </w:tr>
      <w:tr>
        <w:tc>
          <w:tcPr>
            <w:tcW w:type="dxa" w:w="2880"/>
          </w:tcPr>
          <w:p>
            <w:r>
              <w:t>RBAC-007</w:t>
            </w:r>
          </w:p>
        </w:tc>
        <w:tc>
          <w:tcPr>
            <w:tcW w:type="dxa" w:w="2880"/>
          </w:tcPr>
          <w:p>
            <w:r>
              <w:t>Effective permissions</w:t>
              <w:br/>
              <w:t>An endpoint returns the caller's effective permissions for menu and action visibility.</w:t>
            </w:r>
          </w:p>
        </w:tc>
        <w:tc>
          <w:tcPr>
            <w:tcW w:type="dxa" w:w="2880"/>
          </w:tcPr>
          <w:p>
            <w:r>
              <w:t>Frontend hints never replace backend enforcement; a forged hint changes nothing.</w:t>
            </w:r>
          </w:p>
        </w:tc>
      </w:tr>
    </w:tbl>
    <w:p/>
    <w:p>
      <w:pPr>
        <w:pStyle w:val="Heading2"/>
      </w:pPr>
      <w:r>
        <w:rPr>
          <w:color w:val="102838"/>
        </w:rPr>
        <w:t>4. CRUD foundation</w:t>
      </w:r>
    </w:p>
    <w:p>
      <w:r>
        <w:t>Reusable primitives so a new domain module needs only a schema, permissions and optional hooks.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CRUD-001</w:t>
            </w:r>
          </w:p>
        </w:tc>
        <w:tc>
          <w:tcPr>
            <w:tcW w:type="dxa" w:w="2880"/>
          </w:tcPr>
          <w:p>
            <w:r>
              <w:t>Base document</w:t>
              <w:br/>
              <w:t>Every tenant-owned document carries id, tenant, organization unit, status, tags, custom fields, audit stamps, soft-delete marker and version.</w:t>
            </w:r>
          </w:p>
        </w:tc>
        <w:tc>
          <w:tcPr>
            <w:tcW w:type="dxa" w:w="2880"/>
          </w:tcPr>
          <w:p>
            <w:r>
              <w:t>A generated domain schema inherits the approved base fields.</w:t>
            </w:r>
          </w:p>
        </w:tc>
      </w:tr>
      <w:tr>
        <w:tc>
          <w:tcPr>
            <w:tcW w:type="dxa" w:w="2880"/>
          </w:tcPr>
          <w:p>
            <w:r>
              <w:t>CRUD-002</w:t>
            </w:r>
          </w:p>
        </w:tc>
        <w:tc>
          <w:tcPr>
            <w:tcW w:type="dxa" w:w="2880"/>
          </w:tcPr>
          <w:p>
            <w:r>
              <w:t>Reusable services</w:t>
              <w:br/>
              <w:t>Create, view, list, update, archive and restore are provided with hooks for validation and authorization.</w:t>
            </w:r>
          </w:p>
        </w:tc>
        <w:tc>
          <w:tcPr>
            <w:tcW w:type="dxa" w:w="2880"/>
          </w:tcPr>
          <w:p>
            <w:r>
              <w:t>A reference entity is implemented without copying infrastructure code.</w:t>
            </w:r>
          </w:p>
        </w:tc>
      </w:tr>
      <w:tr>
        <w:tc>
          <w:tcPr>
            <w:tcW w:type="dxa" w:w="2880"/>
          </w:tcPr>
          <w:p>
            <w:r>
              <w:t>CRUD-003</w:t>
            </w:r>
          </w:p>
        </w:tc>
        <w:tc>
          <w:tcPr>
            <w:tcW w:type="dxa" w:w="2880"/>
          </w:tcPr>
          <w:p>
            <w:r>
              <w:t>Listing, search and filter</w:t>
              <w:br/>
              <w:t>Standardised pagination, field allowlists, sorting, filtering and search.</w:t>
            </w:r>
          </w:p>
        </w:tc>
        <w:tc>
          <w:tcPr>
            <w:tcW w:type="dxa" w:w="2880"/>
          </w:tcPr>
          <w:p>
            <w:r>
              <w:t>An unapproved field or operator is rejected; normal filters hit an index.</w:t>
            </w:r>
          </w:p>
        </w:tc>
      </w:tr>
      <w:tr>
        <w:tc>
          <w:tcPr>
            <w:tcW w:type="dxa" w:w="2880"/>
          </w:tcPr>
          <w:p>
            <w:r>
              <w:t>CRUD-004</w:t>
            </w:r>
          </w:p>
        </w:tc>
        <w:tc>
          <w:tcPr>
            <w:tcW w:type="dxa" w:w="2880"/>
          </w:tcPr>
          <w:p>
            <w:r>
              <w:t>Pagination</w:t>
              <w:br/>
              <w:t>Cursor pagination for large or volatile collections; offset pagination only where bounded.</w:t>
            </w:r>
          </w:p>
        </w:tc>
        <w:tc>
          <w:tcPr>
            <w:tcW w:type="dxa" w:w="2880"/>
          </w:tcPr>
          <w:p>
            <w:r>
              <w:t>Paging duplicates or omits no record while data changes underneath.</w:t>
            </w:r>
          </w:p>
        </w:tc>
      </w:tr>
      <w:tr>
        <w:tc>
          <w:tcPr>
            <w:tcW w:type="dxa" w:w="2880"/>
          </w:tcPr>
          <w:p>
            <w:r>
              <w:t>CRUD-005</w:t>
            </w:r>
          </w:p>
        </w:tc>
        <w:tc>
          <w:tcPr>
            <w:tcW w:type="dxa" w:w="2880"/>
          </w:tcPr>
          <w:p>
            <w:r>
              <w:t>Bulk operations</w:t>
              <w:br/>
              <w:t>Bulk upsert, bulk archive and bulk delete, each tenant-scoped and matched on a tenant-scoped key.</w:t>
            </w:r>
          </w:p>
        </w:tc>
        <w:tc>
          <w:tcPr>
            <w:tcW w:type="dxa" w:w="2880"/>
          </w:tcPr>
          <w:p>
            <w:r>
              <w:t>A bulk upsert cannot touch another tenant's rows even with a colliding key.</w:t>
            </w:r>
          </w:p>
        </w:tc>
      </w:tr>
      <w:tr>
        <w:tc>
          <w:tcPr>
            <w:tcW w:type="dxa" w:w="2880"/>
          </w:tcPr>
          <w:p>
            <w:r>
              <w:t>CRUD-006</w:t>
            </w:r>
          </w:p>
        </w:tc>
        <w:tc>
          <w:tcPr>
            <w:tcW w:type="dxa" w:w="2880"/>
          </w:tcPr>
          <w:p>
            <w:r>
              <w:t>Optimistic concurrency</w:t>
              <w:br/>
              <w:t>Conflict-sensitive updates carry a version; a stale update is refused.</w:t>
            </w:r>
          </w:p>
        </w:tc>
        <w:tc>
          <w:tcPr>
            <w:tcW w:type="dxa" w:w="2880"/>
          </w:tcPr>
          <w:p>
            <w:r>
              <w:t>A stale write returns a documented conflict rather than overwriting.</w:t>
            </w:r>
          </w:p>
        </w:tc>
      </w:tr>
      <w:tr>
        <w:tc>
          <w:tcPr>
            <w:tcW w:type="dxa" w:w="2880"/>
          </w:tcPr>
          <w:p>
            <w:r>
              <w:t>CRUD-007</w:t>
            </w:r>
          </w:p>
        </w:tc>
        <w:tc>
          <w:tcPr>
            <w:tcW w:type="dxa" w:w="2880"/>
          </w:tcPr>
          <w:p>
            <w:r>
              <w:t>Custom fields</w:t>
              <w:br/>
              <w:t>Typed custom-field definitions with validation, an explicit indexing policy and per-field permissions.</w:t>
            </w:r>
          </w:p>
        </w:tc>
        <w:tc>
          <w:tcPr>
            <w:tcW w:type="dxa" w:w="2880"/>
          </w:tcPr>
          <w:p>
            <w:r>
              <w:t>Invalid values are rejected and no index is created from request input.</w:t>
            </w:r>
          </w:p>
        </w:tc>
      </w:tr>
      <w:tr>
        <w:tc>
          <w:tcPr>
            <w:tcW w:type="dxa" w:w="2880"/>
          </w:tcPr>
          <w:p>
            <w:r>
              <w:t>CRUD-008</w:t>
            </w:r>
          </w:p>
        </w:tc>
        <w:tc>
          <w:tcPr>
            <w:tcW w:type="dxa" w:w="2880"/>
          </w:tcPr>
          <w:p>
            <w:r>
              <w:t>Import and export</w:t>
              <w:br/>
              <w:t>Asynchronous import and export with preview, validation and a downloadable error file.</w:t>
            </w:r>
          </w:p>
        </w:tc>
        <w:tc>
          <w:tcPr>
            <w:tcW w:type="dxa" w:w="2880"/>
          </w:tcPr>
          <w:p>
            <w:r>
              <w:t>Large operations do not block the API and remain tenant-isolated.</w:t>
            </w:r>
          </w:p>
        </w:tc>
      </w:tr>
    </w:tbl>
    <w:p/>
    <w:p>
      <w:pPr>
        <w:pStyle w:val="Heading2"/>
      </w:pPr>
      <w:r>
        <w:rPr>
          <w:color w:val="102838"/>
        </w:rPr>
        <w:t>5. Billing and payments (Razorpay)</w:t>
      </w:r>
    </w:p>
    <w:p>
      <w:r>
        <w:t>Subscriptions, invoices, refunds and the payment gateway. The internal ledger is the system of record.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BILL-001</w:t>
            </w:r>
          </w:p>
        </w:tc>
        <w:tc>
          <w:tcPr>
            <w:tcW w:type="dxa" w:w="2880"/>
          </w:tcPr>
          <w:p>
            <w:r>
              <w:t>Plans and pricing</w:t>
              <w:br/>
              <w:t>Plans carry versions, prices, intervals, trials, entitlements and quotas with effective dates.</w:t>
            </w:r>
          </w:p>
        </w:tc>
        <w:tc>
          <w:tcPr>
            <w:tcW w:type="dxa" w:w="2880"/>
          </w:tcPr>
          <w:p>
            <w:r>
              <w:t>Changing a plan creates a new version and rewrites no historical invoice.</w:t>
            </w:r>
          </w:p>
        </w:tc>
      </w:tr>
      <w:tr>
        <w:tc>
          <w:tcPr>
            <w:tcW w:type="dxa" w:w="2880"/>
          </w:tcPr>
          <w:p>
            <w:r>
              <w:t>BILL-002</w:t>
            </w:r>
          </w:p>
        </w:tc>
        <w:tc>
          <w:tcPr>
            <w:tcW w:type="dxa" w:w="2880"/>
          </w:tcPr>
          <w:p>
            <w:r>
              <w:t>Subscriptions</w:t>
              <w:br/>
              <w:t>Subscription states are pending, trialing, active, past_due, paused, cancelled and expired with an explicit transition table.</w:t>
            </w:r>
          </w:p>
        </w:tc>
        <w:tc>
          <w:tcPr>
            <w:tcW w:type="dxa" w:w="2880"/>
          </w:tcPr>
          <w:p>
            <w:r>
              <w:t>Only valid transitions are accepted; each is audited.</w:t>
            </w:r>
          </w:p>
        </w:tc>
      </w:tr>
      <w:tr>
        <w:tc>
          <w:tcPr>
            <w:tcW w:type="dxa" w:w="2880"/>
          </w:tcPr>
          <w:p>
            <w:r>
              <w:t>BILL-003</w:t>
            </w:r>
          </w:p>
        </w:tc>
        <w:tc>
          <w:tcPr>
            <w:tcW w:type="dxa" w:w="2880"/>
          </w:tcPr>
          <w:p>
            <w:r>
              <w:t>Usage events</w:t>
              <w:br/>
              <w:t>Usage events are immutable and carry tenant, metric, quantity, unit-price snapshot, source reference and idempotency key.</w:t>
            </w:r>
          </w:p>
        </w:tc>
        <w:tc>
          <w:tcPr>
            <w:tcW w:type="dxa" w:w="2880"/>
          </w:tcPr>
          <w:p>
            <w:r>
              <w:t>A duplicate event is ignored and remains traceable.</w:t>
            </w:r>
          </w:p>
        </w:tc>
      </w:tr>
      <w:tr>
        <w:tc>
          <w:tcPr>
            <w:tcW w:type="dxa" w:w="2880"/>
          </w:tcPr>
          <w:p>
            <w:r>
              <w:t>BILL-004</w:t>
            </w:r>
          </w:p>
        </w:tc>
        <w:tc>
          <w:tcPr>
            <w:tcW w:type="dxa" w:w="2880"/>
          </w:tcPr>
          <w:p>
            <w:r>
              <w:t>Entitlements and quotas</w:t>
              <w:br/>
              <w:t>Real-time entitlement and quota checks are callable by any business module.</w:t>
            </w:r>
          </w:p>
        </w:tc>
        <w:tc>
          <w:tcPr>
            <w:tcW w:type="dxa" w:w="2880"/>
          </w:tcPr>
          <w:p>
            <w:r>
              <w:t>A protected action is refused when the plan, credit or quota disallows it, and no usage is recorded for the refused call.</w:t>
            </w:r>
          </w:p>
        </w:tc>
      </w:tr>
      <w:tr>
        <w:tc>
          <w:tcPr>
            <w:tcW w:type="dxa" w:w="2880"/>
          </w:tcPr>
          <w:p>
            <w:r>
              <w:t>BILL-005</w:t>
            </w:r>
          </w:p>
        </w:tc>
        <w:tc>
          <w:tcPr>
            <w:tcW w:type="dxa" w:w="2880"/>
          </w:tcPr>
          <w:p>
            <w:r>
              <w:t>Invoices</w:t>
              <w:br/>
              <w:t>Invoices carry line items, discounts, taxes, totals, currency and payment status, with configurable GST fields and gapless numbering.</w:t>
            </w:r>
          </w:p>
        </w:tc>
        <w:tc>
          <w:tcPr>
            <w:tcW w:type="dxa" w:w="2880"/>
          </w:tcPr>
          <w:p>
            <w:r>
              <w:t>Totals are reproducible from stored line-item snapshots; numbering has no gaps under concurrent issue.</w:t>
            </w:r>
          </w:p>
        </w:tc>
      </w:tr>
      <w:tr>
        <w:tc>
          <w:tcPr>
            <w:tcW w:type="dxa" w:w="2880"/>
          </w:tcPr>
          <w:p>
            <w:r>
              <w:t>BILL-006</w:t>
            </w:r>
          </w:p>
        </w:tc>
        <w:tc>
          <w:tcPr>
            <w:tcW w:type="dxa" w:w="2880"/>
          </w:tcPr>
          <w:p>
            <w:r>
              <w:t>Razorpay orders</w:t>
              <w:br/>
              <w:t>Orders are created from server-calculated amounts. Amount and tenant are never taken from the client.</w:t>
            </w:r>
          </w:p>
        </w:tc>
        <w:tc>
          <w:tcPr>
            <w:tcW w:type="dxa" w:w="2880"/>
          </w:tcPr>
          <w:p>
            <w:r>
              <w:t>A tampered client amount cannot alter the order.</w:t>
            </w:r>
          </w:p>
        </w:tc>
      </w:tr>
      <w:tr>
        <w:tc>
          <w:tcPr>
            <w:tcW w:type="dxa" w:w="2880"/>
          </w:tcPr>
          <w:p>
            <w:r>
              <w:t>BILL-007</w:t>
            </w:r>
          </w:p>
        </w:tc>
        <w:tc>
          <w:tcPr>
            <w:tcW w:type="dxa" w:w="2880"/>
          </w:tcPr>
          <w:p>
            <w:r>
              <w:t>Signature verification</w:t>
              <w:br/>
              <w:t>Payment signatures are verified server-side before a payment is marked successful.</w:t>
            </w:r>
          </w:p>
        </w:tc>
        <w:tc>
          <w:tcPr>
            <w:tcW w:type="dxa" w:w="2880"/>
          </w:tcPr>
          <w:p>
            <w:r>
              <w:t>An invalid signature is rejected and logged as a security event.</w:t>
            </w:r>
          </w:p>
        </w:tc>
      </w:tr>
      <w:tr>
        <w:tc>
          <w:tcPr>
            <w:tcW w:type="dxa" w:w="2880"/>
          </w:tcPr>
          <w:p>
            <w:r>
              <w:t>BILL-008</w:t>
            </w:r>
          </w:p>
        </w:tc>
        <w:tc>
          <w:tcPr>
            <w:tcW w:type="dxa" w:w="2880"/>
          </w:tcPr>
          <w:p>
            <w:r>
              <w:t>Webhooks</w:t>
              <w:br/>
              <w:t>Razorpay webhooks are received on an authenticated route, verified against the raw request body, persisted before processing and deduplicated on provider event id.</w:t>
            </w:r>
          </w:p>
        </w:tc>
        <w:tc>
          <w:tcPr>
            <w:tcW w:type="dxa" w:w="2880"/>
          </w:tcPr>
          <w:p>
            <w:r>
              <w:t>Repeated delivery produces exactly one business outcome; a re-serialized body fails.</w:t>
            </w:r>
          </w:p>
        </w:tc>
      </w:tr>
      <w:tr>
        <w:tc>
          <w:tcPr>
            <w:tcW w:type="dxa" w:w="2880"/>
          </w:tcPr>
          <w:p>
            <w:r>
              <w:t>BILL-009</w:t>
            </w:r>
          </w:p>
        </w:tc>
        <w:tc>
          <w:tcPr>
            <w:tcW w:type="dxa" w:w="2880"/>
          </w:tcPr>
          <w:p>
            <w:r>
              <w:t>Refund requests</w:t>
              <w:br/>
              <w:t>Refunds follow a request-and-approval flow with reason, permission, idempotency and audit; full and partial are distinguished.</w:t>
            </w:r>
          </w:p>
        </w:tc>
        <w:tc>
          <w:tcPr>
            <w:tcW w:type="dxa" w:w="2880"/>
          </w:tcPr>
          <w:p>
            <w:r>
              <w:t>A duplicate refund request returns the existing result rather than refunding twice.</w:t>
            </w:r>
          </w:p>
        </w:tc>
      </w:tr>
      <w:tr>
        <w:tc>
          <w:tcPr>
            <w:tcW w:type="dxa" w:w="2880"/>
          </w:tcPr>
          <w:p>
            <w:r>
              <w:t>BILL-010</w:t>
            </w:r>
          </w:p>
        </w:tc>
        <w:tc>
          <w:tcPr>
            <w:tcW w:type="dxa" w:w="2880"/>
          </w:tcPr>
          <w:p>
            <w:r>
              <w:t>Reconciliation</w:t>
              <w:br/>
              <w:t>Scheduled reconciliation compares local payments against the provider and reports exceptions.</w:t>
            </w:r>
          </w:p>
        </w:tc>
        <w:tc>
          <w:tcPr>
            <w:tcW w:type="dxa" w:w="2880"/>
          </w:tcPr>
          <w:p>
            <w:r>
              <w:t>A mismatch is surfaced without silently changing financial history.</w:t>
            </w:r>
          </w:p>
        </w:tc>
      </w:tr>
      <w:tr>
        <w:tc>
          <w:tcPr>
            <w:tcW w:type="dxa" w:w="2880"/>
          </w:tcPr>
          <w:p>
            <w:r>
              <w:t>BILL-011</w:t>
            </w:r>
          </w:p>
        </w:tc>
        <w:tc>
          <w:tcPr>
            <w:tcW w:type="dxa" w:w="2880"/>
          </w:tcPr>
          <w:p>
            <w:r>
              <w:t>Provider abstraction</w:t>
              <w:br/>
              <w:t>Razorpay sits behind a payment-provider interface with a mock adapter for local development.</w:t>
            </w:r>
          </w:p>
        </w:tc>
        <w:tc>
          <w:tcPr>
            <w:tcW w:type="dxa" w:w="2880"/>
          </w:tcPr>
          <w:p>
            <w:r>
              <w:t>Mock and Razorpay adapters pass identical contract tests.</w:t>
            </w:r>
          </w:p>
        </w:tc>
      </w:tr>
    </w:tbl>
    <w:p/>
    <w:p>
      <w:pPr>
        <w:pStyle w:val="Heading2"/>
      </w:pPr>
      <w:r>
        <w:rPr>
          <w:color w:val="102838"/>
        </w:rPr>
        <w:t>6. Transactions and workflow</w:t>
      </w:r>
    </w:p>
    <w:p>
      <w:r>
        <w:t>A transaction is a domain request - a visa score generation, a verification, an assessment - that moves through one or more steps. Transaction types are configuration; the engine is code.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TXN-001</w:t>
            </w:r>
          </w:p>
        </w:tc>
        <w:tc>
          <w:tcPr>
            <w:tcW w:type="dxa" w:w="2880"/>
          </w:tcPr>
          <w:p>
            <w:r>
              <w:t>Transaction types</w:t>
              <w:br/>
              <w:t>Transaction types are declared as configuration with a stable identifier, input schema, output schema, permissions and pricing hook.</w:t>
            </w:r>
          </w:p>
        </w:tc>
        <w:tc>
          <w:tcPr>
            <w:tcW w:type="dxa" w:w="2880"/>
          </w:tcPr>
          <w:p>
            <w:r>
              <w:t>A new type is added without changing engine code.</w:t>
            </w:r>
          </w:p>
        </w:tc>
      </w:tr>
      <w:tr>
        <w:tc>
          <w:tcPr>
            <w:tcW w:type="dxa" w:w="2880"/>
          </w:tcPr>
          <w:p>
            <w:r>
              <w:t>TXN-002</w:t>
            </w:r>
          </w:p>
        </w:tc>
        <w:tc>
          <w:tcPr>
            <w:tcW w:type="dxa" w:w="2880"/>
          </w:tcPr>
          <w:p>
            <w:r>
              <w:t>Single-step transactions</w:t>
              <w:br/>
              <w:t>A single-step type executes, records its result and completes.</w:t>
            </w:r>
          </w:p>
        </w:tc>
        <w:tc>
          <w:tcPr>
            <w:tcW w:type="dxa" w:w="2880"/>
          </w:tcPr>
          <w:p>
            <w:r>
              <w:t>The stored result is reproducible from the recorded inputs.</w:t>
            </w:r>
          </w:p>
        </w:tc>
      </w:tr>
      <w:tr>
        <w:tc>
          <w:tcPr>
            <w:tcW w:type="dxa" w:w="2880"/>
          </w:tcPr>
          <w:p>
            <w:r>
              <w:t>TXN-003</w:t>
            </w:r>
          </w:p>
        </w:tc>
        <w:tc>
          <w:tcPr>
            <w:tcW w:type="dxa" w:w="2880"/>
          </w:tcPr>
          <w:p>
            <w:r>
              <w:t>Multi-step workflow</w:t>
              <w:br/>
              <w:t>A multi-step type advances through declared states with entry and exit conditions.</w:t>
            </w:r>
          </w:p>
        </w:tc>
        <w:tc>
          <w:tcPr>
            <w:tcW w:type="dxa" w:w="2880"/>
          </w:tcPr>
          <w:p>
            <w:r>
              <w:t>An invalid transition is refused; the current state is always reconstructable.</w:t>
            </w:r>
          </w:p>
        </w:tc>
      </w:tr>
      <w:tr>
        <w:tc>
          <w:tcPr>
            <w:tcW w:type="dxa" w:w="2880"/>
          </w:tcPr>
          <w:p>
            <w:r>
              <w:t>TXN-004</w:t>
            </w:r>
          </w:p>
        </w:tc>
        <w:tc>
          <w:tcPr>
            <w:tcW w:type="dxa" w:w="2880"/>
          </w:tcPr>
          <w:p>
            <w:r>
              <w:t>Human tasks</w:t>
              <w:br/>
              <w:t>Steps requiring a person create an assignable task with a permission and a due date.</w:t>
            </w:r>
          </w:p>
        </w:tc>
        <w:tc>
          <w:tcPr>
            <w:tcW w:type="dxa" w:w="2880"/>
          </w:tcPr>
          <w:p>
            <w:r>
              <w:t>A cross-tenant decision attempt is refused.</w:t>
            </w:r>
          </w:p>
        </w:tc>
      </w:tr>
      <w:tr>
        <w:tc>
          <w:tcPr>
            <w:tcW w:type="dxa" w:w="2880"/>
          </w:tcPr>
          <w:p>
            <w:r>
              <w:t>TXN-005</w:t>
            </w:r>
          </w:p>
        </w:tc>
        <w:tc>
          <w:tcPr>
            <w:tcW w:type="dxa" w:w="2880"/>
          </w:tcPr>
          <w:p>
            <w:r>
              <w:t>Transaction billing</w:t>
              <w:br/>
              <w:t>A transaction consults entitlements before executing and records usage on success.</w:t>
            </w:r>
          </w:p>
        </w:tc>
        <w:tc>
          <w:tcPr>
            <w:tcW w:type="dxa" w:w="2880"/>
          </w:tcPr>
          <w:p>
            <w:r>
              <w:t>An exhausted quota refuses the transaction and bills nothing.</w:t>
            </w:r>
          </w:p>
        </w:tc>
      </w:tr>
      <w:tr>
        <w:tc>
          <w:tcPr>
            <w:tcW w:type="dxa" w:w="2880"/>
          </w:tcPr>
          <w:p>
            <w:r>
              <w:t>TXN-006</w:t>
            </w:r>
          </w:p>
        </w:tc>
        <w:tc>
          <w:tcPr>
            <w:tcW w:type="dxa" w:w="2880"/>
          </w:tcPr>
          <w:p>
            <w:r>
              <w:t>Retry and compensation</w:t>
              <w:br/>
              <w:t>A failed step retries with backoff; a non-retryable failure runs its declared compensation.</w:t>
            </w:r>
          </w:p>
        </w:tc>
        <w:tc>
          <w:tcPr>
            <w:tcW w:type="dxa" w:w="2880"/>
          </w:tcPr>
          <w:p>
            <w:r>
              <w:t>A partially completed multi-step transaction leaves no inconsistent state.</w:t>
            </w:r>
          </w:p>
        </w:tc>
      </w:tr>
      <w:tr>
        <w:tc>
          <w:tcPr>
            <w:tcW w:type="dxa" w:w="2880"/>
          </w:tcPr>
          <w:p>
            <w:r>
              <w:t>TXN-007</w:t>
            </w:r>
          </w:p>
        </w:tc>
        <w:tc>
          <w:tcPr>
            <w:tcW w:type="dxa" w:w="2880"/>
          </w:tcPr>
          <w:p>
            <w:r>
              <w:t>Transaction history</w:t>
              <w:br/>
              <w:t>Every state change is recorded with actor, timestamp, reason and correlation ID.</w:t>
            </w:r>
          </w:p>
        </w:tc>
        <w:tc>
          <w:tcPr>
            <w:tcW w:type="dxa" w:w="2880"/>
          </w:tcPr>
          <w:p>
            <w:r>
              <w:t>The full path of a transaction is retrievable for support.</w:t>
            </w:r>
          </w:p>
        </w:tc>
      </w:tr>
    </w:tbl>
    <w:p/>
    <w:p>
      <w:pPr>
        <w:pStyle w:val="Heading2"/>
      </w:pPr>
      <w:r>
        <w:rPr>
          <w:color w:val="102838"/>
        </w:rPr>
        <w:t>7. Business rules manager</w:t>
      </w:r>
    </w:p>
    <w:p>
      <w:r>
        <w:t>Configurable decision logic - eligibility, pricing tiers, routing - authored as versioned rules rather than code.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RULE-001</w:t>
            </w:r>
          </w:p>
        </w:tc>
        <w:tc>
          <w:tcPr>
            <w:tcW w:type="dxa" w:w="2880"/>
          </w:tcPr>
          <w:p>
            <w:r>
              <w:t>Rule definitions</w:t>
              <w:br/>
              <w:t>Rules are declared with conditions and outcomes, validated on save.</w:t>
            </w:r>
          </w:p>
        </w:tc>
        <w:tc>
          <w:tcPr>
            <w:tcW w:type="dxa" w:w="2880"/>
          </w:tcPr>
          <w:p>
            <w:r>
              <w:t>An invalid rule is refused at authoring time, not at evaluation time.</w:t>
            </w:r>
          </w:p>
        </w:tc>
      </w:tr>
      <w:tr>
        <w:tc>
          <w:tcPr>
            <w:tcW w:type="dxa" w:w="2880"/>
          </w:tcPr>
          <w:p>
            <w:r>
              <w:t>RULE-002</w:t>
            </w:r>
          </w:p>
        </w:tc>
        <w:tc>
          <w:tcPr>
            <w:tcW w:type="dxa" w:w="2880"/>
          </w:tcPr>
          <w:p>
            <w:r>
              <w:t>Rule versioning</w:t>
              <w:br/>
              <w:t>Rule sets are versioned and immutable once published.</w:t>
            </w:r>
          </w:p>
        </w:tc>
        <w:tc>
          <w:tcPr>
            <w:tcW w:type="dxa" w:w="2880"/>
          </w:tcPr>
          <w:p>
            <w:r>
              <w:t>A past decision replays against the exact version that produced it.</w:t>
            </w:r>
          </w:p>
        </w:tc>
      </w:tr>
      <w:tr>
        <w:tc>
          <w:tcPr>
            <w:tcW w:type="dxa" w:w="2880"/>
          </w:tcPr>
          <w:p>
            <w:r>
              <w:t>RULE-003</w:t>
            </w:r>
          </w:p>
        </w:tc>
        <w:tc>
          <w:tcPr>
            <w:tcW w:type="dxa" w:w="2880"/>
          </w:tcPr>
          <w:p>
            <w:r>
              <w:t>Evaluation</w:t>
              <w:br/>
              <w:t>Rules evaluate against a declared input schema and return a decision plus the matched rule.</w:t>
            </w:r>
          </w:p>
        </w:tc>
        <w:tc>
          <w:tcPr>
            <w:tcW w:type="dxa" w:w="2880"/>
          </w:tcPr>
          <w:p>
            <w:r>
              <w:t>The same inputs and version always yield the same outcome.</w:t>
            </w:r>
          </w:p>
        </w:tc>
      </w:tr>
      <w:tr>
        <w:tc>
          <w:tcPr>
            <w:tcW w:type="dxa" w:w="2880"/>
          </w:tcPr>
          <w:p>
            <w:r>
              <w:t>RULE-004</w:t>
            </w:r>
          </w:p>
        </w:tc>
        <w:tc>
          <w:tcPr>
            <w:tcW w:type="dxa" w:w="2880"/>
          </w:tcPr>
          <w:p>
            <w:r>
              <w:t>Tenant scoping</w:t>
              <w:br/>
              <w:t>Rule sets are tenant-scoped with optional platform defaults.</w:t>
            </w:r>
          </w:p>
        </w:tc>
        <w:tc>
          <w:tcPr>
            <w:tcW w:type="dxa" w:w="2880"/>
          </w:tcPr>
          <w:p>
            <w:r>
              <w:t>One tenant's rules never influence another's decision.</w:t>
            </w:r>
          </w:p>
        </w:tc>
      </w:tr>
      <w:tr>
        <w:tc>
          <w:tcPr>
            <w:tcW w:type="dxa" w:w="2880"/>
          </w:tcPr>
          <w:p>
            <w:r>
              <w:t>RULE-005</w:t>
            </w:r>
          </w:p>
        </w:tc>
        <w:tc>
          <w:tcPr>
            <w:tcW w:type="dxa" w:w="2880"/>
          </w:tcPr>
          <w:p>
            <w:r>
              <w:t>Simulation</w:t>
              <w:br/>
              <w:t>A rule set is testable against sample inputs before publication.</w:t>
            </w:r>
          </w:p>
        </w:tc>
        <w:tc>
          <w:tcPr>
            <w:tcW w:type="dxa" w:w="2880"/>
          </w:tcPr>
          <w:p>
            <w:r>
              <w:t>A dry run produces the decision without side effects.</w:t>
            </w:r>
          </w:p>
        </w:tc>
      </w:tr>
      <w:tr>
        <w:tc>
          <w:tcPr>
            <w:tcW w:type="dxa" w:w="2880"/>
          </w:tcPr>
          <w:p>
            <w:r>
              <w:t>RULE-006</w:t>
            </w:r>
          </w:p>
        </w:tc>
        <w:tc>
          <w:tcPr>
            <w:tcW w:type="dxa" w:w="2880"/>
          </w:tcPr>
          <w:p>
            <w:r>
              <w:t>Decision audit</w:t>
              <w:br/>
              <w:t>Every evaluation records inputs, version, matched rule and outcome.</w:t>
            </w:r>
          </w:p>
        </w:tc>
        <w:tc>
          <w:tcPr>
            <w:tcW w:type="dxa" w:w="2880"/>
          </w:tcPr>
          <w:p>
            <w:r>
              <w:t>A disputed decision is explainable after the fact.</w:t>
            </w:r>
          </w:p>
        </w:tc>
      </w:tr>
    </w:tbl>
    <w:p/>
    <w:p>
      <w:pPr>
        <w:pStyle w:val="Heading2"/>
      </w:pPr>
      <w:r>
        <w:rPr>
          <w:color w:val="102838"/>
        </w:rPr>
        <w:t>8. Scoring engines</w:t>
      </w:r>
    </w:p>
    <w:p>
      <w:r>
        <w:t>Scores and leaderboards derived from transactions, rules and usage.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SCORE-001</w:t>
            </w:r>
          </w:p>
        </w:tc>
        <w:tc>
          <w:tcPr>
            <w:tcW w:type="dxa" w:w="2880"/>
          </w:tcPr>
          <w:p>
            <w:r>
              <w:t>Score definitions</w:t>
              <w:br/>
              <w:t>A score is declared with its inputs, computation, scale and refresh policy.</w:t>
            </w:r>
          </w:p>
        </w:tc>
        <w:tc>
          <w:tcPr>
            <w:tcW w:type="dxa" w:w="2880"/>
          </w:tcPr>
          <w:p>
            <w:r>
              <w:t>A new score is added through configuration.</w:t>
            </w:r>
          </w:p>
        </w:tc>
      </w:tr>
      <w:tr>
        <w:tc>
          <w:tcPr>
            <w:tcW w:type="dxa" w:w="2880"/>
          </w:tcPr>
          <w:p>
            <w:r>
              <w:t>SCORE-002</w:t>
            </w:r>
          </w:p>
        </w:tc>
        <w:tc>
          <w:tcPr>
            <w:tcW w:type="dxa" w:w="2880"/>
          </w:tcPr>
          <w:p>
            <w:r>
              <w:t>Score computation</w:t>
              <w:br/>
              <w:t>Scores compute on demand or on a schedule and are stored with the version that produced them.</w:t>
            </w:r>
          </w:p>
        </w:tc>
        <w:tc>
          <w:tcPr>
            <w:tcW w:type="dxa" w:w="2880"/>
          </w:tcPr>
          <w:p>
            <w:r>
              <w:t>A recomputation with the same inputs and version reproduces the score.</w:t>
            </w:r>
          </w:p>
        </w:tc>
      </w:tr>
      <w:tr>
        <w:tc>
          <w:tcPr>
            <w:tcW w:type="dxa" w:w="2880"/>
          </w:tcPr>
          <w:p>
            <w:r>
              <w:t>SCORE-003</w:t>
            </w:r>
          </w:p>
        </w:tc>
        <w:tc>
          <w:tcPr>
            <w:tcW w:type="dxa" w:w="2880"/>
          </w:tcPr>
          <w:p>
            <w:r>
              <w:t>Leaderboards</w:t>
              <w:br/>
              <w:t>Leaderboards rank entities within a tenant with configurable window and tie-breaking.</w:t>
            </w:r>
          </w:p>
        </w:tc>
        <w:tc>
          <w:tcPr>
            <w:tcW w:type="dxa" w:w="2880"/>
          </w:tcPr>
          <w:p>
            <w:r>
              <w:t>Ranking is deterministic and paginated; ties resolve consistently.</w:t>
            </w:r>
          </w:p>
        </w:tc>
      </w:tr>
      <w:tr>
        <w:tc>
          <w:tcPr>
            <w:tcW w:type="dxa" w:w="2880"/>
          </w:tcPr>
          <w:p>
            <w:r>
              <w:t>SCORE-004</w:t>
            </w:r>
          </w:p>
        </w:tc>
        <w:tc>
          <w:tcPr>
            <w:tcW w:type="dxa" w:w="2880"/>
          </w:tcPr>
          <w:p>
            <w:r>
              <w:t>Tenant isolation</w:t>
              <w:br/>
              <w:t>A leaderboard never includes another tenant's entities.</w:t>
            </w:r>
          </w:p>
        </w:tc>
        <w:tc>
          <w:tcPr>
            <w:tcW w:type="dxa" w:w="2880"/>
          </w:tcPr>
          <w:p>
            <w:r>
              <w:t>A cross-tenant probe returns nothing.</w:t>
            </w:r>
          </w:p>
        </w:tc>
      </w:tr>
      <w:tr>
        <w:tc>
          <w:tcPr>
            <w:tcW w:type="dxa" w:w="2880"/>
          </w:tcPr>
          <w:p>
            <w:r>
              <w:t>SCORE-005</w:t>
            </w:r>
          </w:p>
        </w:tc>
        <w:tc>
          <w:tcPr>
            <w:tcW w:type="dxa" w:w="2880"/>
          </w:tcPr>
          <w:p>
            <w:r>
              <w:t>Score history</w:t>
              <w:br/>
              <w:t>Score changes are retained so movement over time is reportable.</w:t>
            </w:r>
          </w:p>
        </w:tc>
        <w:tc>
          <w:tcPr>
            <w:tcW w:type="dxa" w:w="2880"/>
          </w:tcPr>
          <w:p>
            <w:r>
              <w:t>A score's trajectory is retrievable for a given entity.</w:t>
            </w:r>
          </w:p>
        </w:tc>
      </w:tr>
    </w:tbl>
    <w:p/>
    <w:p>
      <w:pPr>
        <w:pStyle w:val="Heading2"/>
      </w:pPr>
      <w:r>
        <w:rPr>
          <w:color w:val="102838"/>
        </w:rPr>
        <w:t>9. Notifications</w:t>
      </w:r>
    </w:p>
    <w:p>
      <w:r>
        <w:t>Four channels - in-app, email, SMS and push - behind one channel-neutral service. Domain modules submit intent and never call a vendor.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NOTI-001</w:t>
            </w:r>
          </w:p>
        </w:tc>
        <w:tc>
          <w:tcPr>
            <w:tcW w:type="dxa" w:w="2880"/>
          </w:tcPr>
          <w:p>
            <w:r>
              <w:t>Channel-neutral service</w:t>
              <w:br/>
              <w:t>Modules submit a notification intent; adapters deliver it.</w:t>
            </w:r>
          </w:p>
        </w:tc>
        <w:tc>
          <w:tcPr>
            <w:tcW w:type="dxa" w:w="2880"/>
          </w:tcPr>
          <w:p>
            <w:r>
              <w:t>Swapping a provider changes no domain module code.</w:t>
            </w:r>
          </w:p>
        </w:tc>
      </w:tr>
      <w:tr>
        <w:tc>
          <w:tcPr>
            <w:tcW w:type="dxa" w:w="2880"/>
          </w:tcPr>
          <w:p>
            <w:r>
              <w:t>NOTI-002</w:t>
            </w:r>
          </w:p>
        </w:tc>
        <w:tc>
          <w:tcPr>
            <w:tcW w:type="dxa" w:w="2880"/>
          </w:tcPr>
          <w:p>
            <w:r>
              <w:t>Templates</w:t>
              <w:br/>
              <w:t>Versioned templates carry subject, body, variables, locale, tenant override and preview, rendered in a sandboxed engine.</w:t>
            </w:r>
          </w:p>
        </w:tc>
        <w:tc>
          <w:tcPr>
            <w:tcW w:type="dxa" w:w="2880"/>
          </w:tcPr>
          <w:p>
            <w:r>
              <w:t>A missing or unsafe variable fails validation before send.</w:t>
            </w:r>
          </w:p>
        </w:tc>
      </w:tr>
      <w:tr>
        <w:tc>
          <w:tcPr>
            <w:tcW w:type="dxa" w:w="2880"/>
          </w:tcPr>
          <w:p>
            <w:r>
              <w:t>NOTI-003</w:t>
            </w:r>
          </w:p>
        </w:tc>
        <w:tc>
          <w:tcPr>
            <w:tcW w:type="dxa" w:w="2880"/>
          </w:tcPr>
          <w:p>
            <w:r>
              <w:t>In-app inbox</w:t>
              <w:br/>
              <w:t>An inbox with unread count, read state, category and deep-link metadata backs a bell icon in the UI.</w:t>
            </w:r>
          </w:p>
        </w:tc>
        <w:tc>
          <w:tcPr>
            <w:tcW w:type="dxa" w:w="2880"/>
          </w:tcPr>
          <w:p>
            <w:r>
              <w:t>A user sees only notifications addressed to them; the badge clears on read.</w:t>
            </w:r>
          </w:p>
        </w:tc>
      </w:tr>
      <w:tr>
        <w:tc>
          <w:tcPr>
            <w:tcW w:type="dxa" w:w="2880"/>
          </w:tcPr>
          <w:p>
            <w:r>
              <w:t>NOTI-004</w:t>
            </w:r>
          </w:p>
        </w:tc>
        <w:tc>
          <w:tcPr>
            <w:tcW w:type="dxa" w:w="2880"/>
          </w:tcPr>
          <w:p>
            <w:r>
              <w:t>Email</w:t>
              <w:br/>
              <w:t>Email delivers through a configured provider, with a local capture adapter for development.</w:t>
            </w:r>
          </w:p>
        </w:tc>
        <w:tc>
          <w:tcPr>
            <w:tcW w:type="dxa" w:w="2880"/>
          </w:tcPr>
          <w:p>
            <w:r>
              <w:t>Local startup sends no real email and exposes test deliveries.</w:t>
            </w:r>
          </w:p>
        </w:tc>
      </w:tr>
      <w:tr>
        <w:tc>
          <w:tcPr>
            <w:tcW w:type="dxa" w:w="2880"/>
          </w:tcPr>
          <w:p>
            <w:r>
              <w:t>NOTI-005</w:t>
            </w:r>
          </w:p>
        </w:tc>
        <w:tc>
          <w:tcPr>
            <w:tcW w:type="dxa" w:w="2880"/>
          </w:tcPr>
          <w:p>
            <w:r>
              <w:t>SMS</w:t>
              <w:br/>
              <w:t>SMS delivers through a provider adapter with opt-out and suppression handling.</w:t>
            </w:r>
          </w:p>
        </w:tc>
        <w:tc>
          <w:tcPr>
            <w:tcW w:type="dxa" w:w="2880"/>
          </w:tcPr>
          <w:p>
            <w:r>
              <w:t>A suppressed recipient is never contacted.</w:t>
            </w:r>
          </w:p>
        </w:tc>
      </w:tr>
      <w:tr>
        <w:tc>
          <w:tcPr>
            <w:tcW w:type="dxa" w:w="2880"/>
          </w:tcPr>
          <w:p>
            <w:r>
              <w:t>NOTI-006</w:t>
            </w:r>
          </w:p>
        </w:tc>
        <w:tc>
          <w:tcPr>
            <w:tcW w:type="dxa" w:w="2880"/>
          </w:tcPr>
          <w:p>
            <w:r>
              <w:t>Push (FCM)</w:t>
              <w:br/>
              <w:t>Device tokens register per user and device; push delivers through FCM.</w:t>
            </w:r>
          </w:p>
        </w:tc>
        <w:tc>
          <w:tcPr>
            <w:tcW w:type="dxa" w:w="2880"/>
          </w:tcPr>
          <w:p>
            <w:r>
              <w:t>An invalid token is disabled after provider feedback.</w:t>
            </w:r>
          </w:p>
        </w:tc>
      </w:tr>
      <w:tr>
        <w:tc>
          <w:tcPr>
            <w:tcW w:type="dxa" w:w="2880"/>
          </w:tcPr>
          <w:p>
            <w:r>
              <w:t>NOTI-007</w:t>
            </w:r>
          </w:p>
        </w:tc>
        <w:tc>
          <w:tcPr>
            <w:tcW w:type="dxa" w:w="2880"/>
          </w:tcPr>
          <w:p>
            <w:r>
              <w:t>Preferences and quiet hours</w:t>
              <w:br/>
              <w:t>User preferences, mandatory transactional categories, quiet hours and tenant policy are respected.</w:t>
            </w:r>
          </w:p>
        </w:tc>
        <w:tc>
          <w:tcPr>
            <w:tcW w:type="dxa" w:w="2880"/>
          </w:tcPr>
          <w:p>
            <w:r>
              <w:t>Optional notifications honour consent while security messages still deliver.</w:t>
            </w:r>
          </w:p>
        </w:tc>
      </w:tr>
      <w:tr>
        <w:tc>
          <w:tcPr>
            <w:tcW w:type="dxa" w:w="2880"/>
          </w:tcPr>
          <w:p>
            <w:r>
              <w:t>NOTI-008</w:t>
            </w:r>
          </w:p>
        </w:tc>
        <w:tc>
          <w:tcPr>
            <w:tcW w:type="dxa" w:w="2880"/>
          </w:tcPr>
          <w:p>
            <w:r>
              <w:t>Delivery tracking</w:t>
              <w:br/>
              <w:t>Queued, sent, delivered, failed, bounced and suppressed states are tracked with provider message IDs.</w:t>
            </w:r>
          </w:p>
        </w:tc>
        <w:tc>
          <w:tcPr>
            <w:tcW w:type="dxa" w:w="2880"/>
          </w:tcPr>
          <w:p>
            <w:r>
              <w:t>Support traces an attempt without exposing message contents.</w:t>
            </w:r>
          </w:p>
        </w:tc>
      </w:tr>
      <w:tr>
        <w:tc>
          <w:tcPr>
            <w:tcW w:type="dxa" w:w="2880"/>
          </w:tcPr>
          <w:p>
            <w:r>
              <w:t>NOTI-009</w:t>
            </w:r>
          </w:p>
        </w:tc>
        <w:tc>
          <w:tcPr>
            <w:tcW w:type="dxa" w:w="2880"/>
          </w:tcPr>
          <w:p>
            <w:r>
              <w:t>Retry and dead-letter</w:t>
              <w:br/>
              <w:t>Transient failures retry with backoff; exhausted deliveries dead-letter.</w:t>
            </w:r>
          </w:p>
        </w:tc>
        <w:tc>
          <w:tcPr>
            <w:tcW w:type="dxa" w:w="2880"/>
          </w:tcPr>
          <w:p>
            <w:r>
              <w:t>A retry creates no duplicate in-app record or duplicate provider send.</w:t>
            </w:r>
          </w:p>
        </w:tc>
      </w:tr>
    </w:tbl>
    <w:p/>
    <w:p>
      <w:pPr>
        <w:pStyle w:val="Heading2"/>
      </w:pPr>
      <w:r>
        <w:rPr>
          <w:color w:val="102838"/>
        </w:rPr>
        <w:t>10. Support requests</w:t>
      </w:r>
    </w:p>
    <w:p>
      <w:r>
        <w:t>A ticketing surface for customers, resellers and staff.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SUP-001</w:t>
            </w:r>
          </w:p>
        </w:tc>
        <w:tc>
          <w:tcPr>
            <w:tcW w:type="dxa" w:w="2880"/>
          </w:tcPr>
          <w:p>
            <w:r>
              <w:t>Ticket lifecycle</w:t>
              <w:br/>
              <w:t>Tickets move through open, in progress, waiting on customer, resolved and closed.</w:t>
            </w:r>
          </w:p>
        </w:tc>
        <w:tc>
          <w:tcPr>
            <w:tcW w:type="dxa" w:w="2880"/>
          </w:tcPr>
          <w:p>
            <w:r>
              <w:t>Only valid transitions are accepted and each is audited.</w:t>
            </w:r>
          </w:p>
        </w:tc>
      </w:tr>
      <w:tr>
        <w:tc>
          <w:tcPr>
            <w:tcW w:type="dxa" w:w="2880"/>
          </w:tcPr>
          <w:p>
            <w:r>
              <w:t>SUP-002</w:t>
            </w:r>
          </w:p>
        </w:tc>
        <w:tc>
          <w:tcPr>
            <w:tcW w:type="dxa" w:w="2880"/>
          </w:tcPr>
          <w:p>
            <w:r>
              <w:t>Threaded messages</w:t>
              <w:br/>
              <w:t>Tickets carry a message thread with attachments and internal notes.</w:t>
            </w:r>
          </w:p>
        </w:tc>
        <w:tc>
          <w:tcPr>
            <w:tcW w:type="dxa" w:w="2880"/>
          </w:tcPr>
          <w:p>
            <w:r>
              <w:t>An internal note is never visible to the customer.</w:t>
            </w:r>
          </w:p>
        </w:tc>
      </w:tr>
      <w:tr>
        <w:tc>
          <w:tcPr>
            <w:tcW w:type="dxa" w:w="2880"/>
          </w:tcPr>
          <w:p>
            <w:r>
              <w:t>SUP-003</w:t>
            </w:r>
          </w:p>
        </w:tc>
        <w:tc>
          <w:tcPr>
            <w:tcW w:type="dxa" w:w="2880"/>
          </w:tcPr>
          <w:p>
            <w:r>
              <w:t>Assignment</w:t>
              <w:br/>
              <w:t>Tickets assign to an agent or queue with priority and due date.</w:t>
            </w:r>
          </w:p>
        </w:tc>
        <w:tc>
          <w:tcPr>
            <w:tcW w:type="dxa" w:w="2880"/>
          </w:tcPr>
          <w:p>
            <w:r>
              <w:t>Reassignment is recorded with actor and reason.</w:t>
            </w:r>
          </w:p>
        </w:tc>
      </w:tr>
      <w:tr>
        <w:tc>
          <w:tcPr>
            <w:tcW w:type="dxa" w:w="2880"/>
          </w:tcPr>
          <w:p>
            <w:r>
              <w:t>SUP-004</w:t>
            </w:r>
          </w:p>
        </w:tc>
        <w:tc>
          <w:tcPr>
            <w:tcW w:type="dxa" w:w="2880"/>
          </w:tcPr>
          <w:p>
            <w:r>
              <w:t>Tenant and role visibility</w:t>
              <w:br/>
              <w:t>A customer sees their own tickets; a reseller sees their customers'; staff see their scope.</w:t>
            </w:r>
          </w:p>
        </w:tc>
        <w:tc>
          <w:tcPr>
            <w:tcW w:type="dxa" w:w="2880"/>
          </w:tcPr>
          <w:p>
            <w:r>
              <w:t>A cross-tenant or cross-reseller ticket read is refused.</w:t>
            </w:r>
          </w:p>
        </w:tc>
      </w:tr>
      <w:tr>
        <w:tc>
          <w:tcPr>
            <w:tcW w:type="dxa" w:w="2880"/>
          </w:tcPr>
          <w:p>
            <w:r>
              <w:t>SUP-005</w:t>
            </w:r>
          </w:p>
        </w:tc>
        <w:tc>
          <w:tcPr>
            <w:tcW w:type="dxa" w:w="2880"/>
          </w:tcPr>
          <w:p>
            <w:r>
              <w:t>Notifications</w:t>
              <w:br/>
              <w:t>Ticket events raise notifications through the notification service.</w:t>
            </w:r>
          </w:p>
        </w:tc>
        <w:tc>
          <w:tcPr>
            <w:tcW w:type="dxa" w:w="2880"/>
          </w:tcPr>
          <w:p>
            <w:r>
              <w:t>A reply notifies the counterparty on their preferred channel.</w:t>
            </w:r>
          </w:p>
        </w:tc>
      </w:tr>
    </w:tbl>
    <w:p/>
    <w:p>
      <w:pPr>
        <w:pStyle w:val="Heading2"/>
      </w:pPr>
      <w:r>
        <w:rPr>
          <w:color w:val="102838"/>
        </w:rPr>
        <w:t>11. Reports and dashboards</w:t>
      </w:r>
    </w:p>
    <w:p>
      <w:r>
        <w:t>Configurable reporting driven by declared queries rather than client-supplied database expressions.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REP-001</w:t>
            </w:r>
          </w:p>
        </w:tc>
        <w:tc>
          <w:tcPr>
            <w:tcW w:type="dxa" w:w="2880"/>
          </w:tcPr>
          <w:p>
            <w:r>
              <w:t>Report registry</w:t>
              <w:br/>
              <w:t>Reports are registered with a stable identifier, permission, parameter schema, result schema and data source.</w:t>
            </w:r>
          </w:p>
        </w:tc>
        <w:tc>
          <w:tcPr>
            <w:tcW w:type="dxa" w:w="2880"/>
          </w:tcPr>
          <w:p>
            <w:r>
              <w:t>An unknown or unauthorized report cannot be executed.</w:t>
            </w:r>
          </w:p>
        </w:tc>
      </w:tr>
      <w:tr>
        <w:tc>
          <w:tcPr>
            <w:tcW w:type="dxa" w:w="2880"/>
          </w:tcPr>
          <w:p>
            <w:r>
              <w:t>REP-002</w:t>
            </w:r>
          </w:p>
        </w:tc>
        <w:tc>
          <w:tcPr>
            <w:tcW w:type="dxa" w:w="2880"/>
          </w:tcPr>
          <w:p>
            <w:r>
              <w:t>JSON-defined queries</w:t>
              <w:br/>
              <w:t>Report queries are declared as validated JSON against an allowlisted field and operator set.</w:t>
            </w:r>
          </w:p>
        </w:tc>
        <w:tc>
          <w:tcPr>
            <w:tcW w:type="dxa" w:w="2880"/>
          </w:tcPr>
          <w:p>
            <w:r>
              <w:t>A raw database expression, JavaScript or unrestricted projection is rejected.</w:t>
            </w:r>
          </w:p>
        </w:tc>
      </w:tr>
      <w:tr>
        <w:tc>
          <w:tcPr>
            <w:tcW w:type="dxa" w:w="2880"/>
          </w:tcPr>
          <w:p>
            <w:r>
              <w:t>REP-003</w:t>
            </w:r>
          </w:p>
        </w:tc>
        <w:tc>
          <w:tcPr>
            <w:tcW w:type="dxa" w:w="2880"/>
          </w:tcPr>
          <w:p>
            <w:r>
              <w:t>Dashboard metrics</w:t>
              <w:br/>
              <w:t>Dashboard endpoints accept tenant, date range and organization-unit filters.</w:t>
            </w:r>
          </w:p>
        </w:tc>
        <w:tc>
          <w:tcPr>
            <w:tcW w:type="dxa" w:w="2880"/>
          </w:tcPr>
          <w:p>
            <w:r>
              <w:t>Every aggregation receives an enforced tenant filter.</w:t>
            </w:r>
          </w:p>
        </w:tc>
      </w:tr>
      <w:tr>
        <w:tc>
          <w:tcPr>
            <w:tcW w:type="dxa" w:w="2880"/>
          </w:tcPr>
          <w:p>
            <w:r>
              <w:t>REP-004</w:t>
            </w:r>
          </w:p>
        </w:tc>
        <w:tc>
          <w:tcPr>
            <w:tcW w:type="dxa" w:w="2880"/>
          </w:tcPr>
          <w:p>
            <w:r>
              <w:t>Saved views</w:t>
              <w:br/>
              <w:t>Users and tenants save report views, filters and column selections.</w:t>
            </w:r>
          </w:p>
        </w:tc>
        <w:tc>
          <w:tcPr>
            <w:tcW w:type="dxa" w:w="2880"/>
          </w:tcPr>
          <w:p>
            <w:r>
              <w:t>A saved view cannot reference a disallowed field, including after the allowlist changes.</w:t>
            </w:r>
          </w:p>
        </w:tc>
      </w:tr>
      <w:tr>
        <w:tc>
          <w:tcPr>
            <w:tcW w:type="dxa" w:w="2880"/>
          </w:tcPr>
          <w:p>
            <w:r>
              <w:t>REP-005</w:t>
            </w:r>
          </w:p>
        </w:tc>
        <w:tc>
          <w:tcPr>
            <w:tcW w:type="dxa" w:w="2880"/>
          </w:tcPr>
          <w:p>
            <w:r>
              <w:t>Exports</w:t>
              <w:br/>
              <w:t>Large reports export asynchronously to object storage with a time-limited download.</w:t>
            </w:r>
          </w:p>
        </w:tc>
        <w:tc>
          <w:tcPr>
            <w:tcW w:type="dxa" w:w="2880"/>
          </w:tcPr>
          <w:p>
            <w:r>
              <w:t>The API returns a job identifier and the download expires.</w:t>
            </w:r>
          </w:p>
        </w:tc>
      </w:tr>
      <w:tr>
        <w:tc>
          <w:tcPr>
            <w:tcW w:type="dxa" w:w="2880"/>
          </w:tcPr>
          <w:p>
            <w:r>
              <w:t>REP-006</w:t>
            </w:r>
          </w:p>
        </w:tc>
        <w:tc>
          <w:tcPr>
            <w:tcW w:type="dxa" w:w="2880"/>
          </w:tcPr>
          <w:p>
            <w:r>
              <w:t>Scheduled reports</w:t>
              <w:br/>
              <w:t>Reports schedule with recipient, channel, tenant time zone and retention.</w:t>
            </w:r>
          </w:p>
        </w:tc>
        <w:tc>
          <w:tcPr>
            <w:tcW w:type="dxa" w:w="2880"/>
          </w:tcPr>
          <w:p>
            <w:r>
              <w:t>Schedules are idempotent and re-check recipient permissions at execution time.</w:t>
            </w:r>
          </w:p>
        </w:tc>
      </w:tr>
      <w:tr>
        <w:tc>
          <w:tcPr>
            <w:tcW w:type="dxa" w:w="2880"/>
          </w:tcPr>
          <w:p>
            <w:r>
              <w:t>REP-007</w:t>
            </w:r>
          </w:p>
        </w:tc>
        <w:tc>
          <w:tcPr>
            <w:tcW w:type="dxa" w:w="2880"/>
          </w:tcPr>
          <w:p>
            <w:r>
              <w:t>Report audit</w:t>
              <w:br/>
              <w:t>Execution records requester, filters, duration, row count and export access.</w:t>
            </w:r>
          </w:p>
        </w:tc>
        <w:tc>
          <w:tcPr>
            <w:tcW w:type="dxa" w:w="2880"/>
          </w:tcPr>
          <w:p>
            <w:r>
              <w:t>Administrative usage and performance are analysable.</w:t>
            </w:r>
          </w:p>
        </w:tc>
      </w:tr>
    </w:tbl>
    <w:p/>
    <w:p>
      <w:pPr>
        <w:pStyle w:val="Heading2"/>
      </w:pPr>
      <w:r>
        <w:rPr>
          <w:color w:val="102838"/>
        </w:rPr>
        <w:t>12. External integrations manager</w:t>
      </w:r>
    </w:p>
    <w:p>
      <w:r>
        <w:t>A registry for outbound provider connections and inbound webhooks, configured per tenant.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INT-001</w:t>
            </w:r>
          </w:p>
        </w:tc>
        <w:tc>
          <w:tcPr>
            <w:tcW w:type="dxa" w:w="2880"/>
          </w:tcPr>
          <w:p>
            <w:r>
              <w:t>Integration registry</w:t>
              <w:br/>
              <w:t>Integrations are registered with a type, configuration schema and required permissions.</w:t>
            </w:r>
          </w:p>
        </w:tc>
        <w:tc>
          <w:tcPr>
            <w:tcW w:type="dxa" w:w="2880"/>
          </w:tcPr>
          <w:p>
            <w:r>
              <w:t>An unknown integration type cannot be configured.</w:t>
            </w:r>
          </w:p>
        </w:tc>
      </w:tr>
      <w:tr>
        <w:tc>
          <w:tcPr>
            <w:tcW w:type="dxa" w:w="2880"/>
          </w:tcPr>
          <w:p>
            <w:r>
              <w:t>INT-002</w:t>
            </w:r>
          </w:p>
        </w:tc>
        <w:tc>
          <w:tcPr>
            <w:tcW w:type="dxa" w:w="2880"/>
          </w:tcPr>
          <w:p>
            <w:r>
              <w:t>Credential references</w:t>
              <w:br/>
              <w:t>Integration credentials are stored as secret references, never plaintext, and are write-only through the API.</w:t>
            </w:r>
          </w:p>
        </w:tc>
        <w:tc>
          <w:tcPr>
            <w:tcW w:type="dxa" w:w="2880"/>
          </w:tcPr>
          <w:p>
            <w:r>
              <w:t>No API response or log ever contains a credential value.</w:t>
            </w:r>
          </w:p>
        </w:tc>
      </w:tr>
      <w:tr>
        <w:tc>
          <w:tcPr>
            <w:tcW w:type="dxa" w:w="2880"/>
          </w:tcPr>
          <w:p>
            <w:r>
              <w:t>INT-003</w:t>
            </w:r>
          </w:p>
        </w:tc>
        <w:tc>
          <w:tcPr>
            <w:tcW w:type="dxa" w:w="2880"/>
          </w:tcPr>
          <w:p>
            <w:r>
              <w:t>Connection testing</w:t>
              <w:br/>
              <w:t>A connection test returns sanitised diagnostics.</w:t>
            </w:r>
          </w:p>
        </w:tc>
        <w:tc>
          <w:tcPr>
            <w:tcW w:type="dxa" w:w="2880"/>
          </w:tcPr>
          <w:p>
            <w:r>
              <w:t>The test confirms connectivity without persisting or exposing a secret.</w:t>
            </w:r>
          </w:p>
        </w:tc>
      </w:tr>
      <w:tr>
        <w:tc>
          <w:tcPr>
            <w:tcW w:type="dxa" w:w="2880"/>
          </w:tcPr>
          <w:p>
            <w:r>
              <w:t>INT-004</w:t>
            </w:r>
          </w:p>
        </w:tc>
        <w:tc>
          <w:tcPr>
            <w:tcW w:type="dxa" w:w="2880"/>
          </w:tcPr>
          <w:p>
            <w:r>
              <w:t>Outbound webhooks</w:t>
              <w:br/>
              <w:t>Tenants subscribe to events and receive signed deliveries with retry, replay and delivery history.</w:t>
            </w:r>
          </w:p>
        </w:tc>
        <w:tc>
          <w:tcPr>
            <w:tcW w:type="dxa" w:w="2880"/>
          </w:tcPr>
          <w:p>
            <w:r>
              <w:t>A consumer verifies the signature; a replay creates no duplicate effect.</w:t>
            </w:r>
          </w:p>
        </w:tc>
      </w:tr>
      <w:tr>
        <w:tc>
          <w:tcPr>
            <w:tcW w:type="dxa" w:w="2880"/>
          </w:tcPr>
          <w:p>
            <w:r>
              <w:t>INT-005</w:t>
            </w:r>
          </w:p>
        </w:tc>
        <w:tc>
          <w:tcPr>
            <w:tcW w:type="dxa" w:w="2880"/>
          </w:tcPr>
          <w:p>
            <w:r>
              <w:t>Inbound webhooks</w:t>
              <w:br/>
              <w:t>Inbound webhooks verify signatures against the raw body and deduplicate on provider event id.</w:t>
            </w:r>
          </w:p>
        </w:tc>
        <w:tc>
          <w:tcPr>
            <w:tcW w:type="dxa" w:w="2880"/>
          </w:tcPr>
          <w:p>
            <w:r>
              <w:t>An altered payload is rejected before processing.</w:t>
            </w:r>
          </w:p>
        </w:tc>
      </w:tr>
      <w:tr>
        <w:tc>
          <w:tcPr>
            <w:tcW w:type="dxa" w:w="2880"/>
          </w:tcPr>
          <w:p>
            <w:r>
              <w:t>INT-006</w:t>
            </w:r>
          </w:p>
        </w:tc>
        <w:tc>
          <w:tcPr>
            <w:tcW w:type="dxa" w:w="2880"/>
          </w:tcPr>
          <w:p>
            <w:r>
              <w:t>API keys</w:t>
              <w:br/>
              <w:t>Tenant API keys carry hashed secrets, scopes, expiry, last-used timestamp and rotation.</w:t>
            </w:r>
          </w:p>
        </w:tc>
        <w:tc>
          <w:tcPr>
            <w:tcW w:type="dxa" w:w="2880"/>
          </w:tcPr>
          <w:p>
            <w:r>
              <w:t>The full key is shown once and cannot be recovered afterwards.</w:t>
            </w:r>
          </w:p>
        </w:tc>
      </w:tr>
      <w:tr>
        <w:tc>
          <w:tcPr>
            <w:tcW w:type="dxa" w:w="2880"/>
          </w:tcPr>
          <w:p>
            <w:r>
              <w:t>INT-007</w:t>
            </w:r>
          </w:p>
        </w:tc>
        <w:tc>
          <w:tcPr>
            <w:tcW w:type="dxa" w:w="2880"/>
          </w:tcPr>
          <w:p>
            <w:r>
              <w:t>Rate limiting</w:t>
              <w:br/>
              <w:t>Per-IP, per-user, per-tenant and per-key rate limits apply where relevant.</w:t>
            </w:r>
          </w:p>
        </w:tc>
        <w:tc>
          <w:tcPr>
            <w:tcW w:type="dxa" w:w="2880"/>
          </w:tcPr>
          <w:p>
            <w:r>
              <w:t>A rate-limited response carries a stable code and retry metadata.</w:t>
            </w:r>
          </w:p>
        </w:tc>
      </w:tr>
    </w:tbl>
    <w:p/>
    <w:p>
      <w:pPr>
        <w:pStyle w:val="Heading2"/>
      </w:pPr>
      <w:r>
        <w:rPr>
          <w:color w:val="102838"/>
        </w:rPr>
        <w:t>13. Audit</w:t>
      </w:r>
    </w:p>
    <w:p>
      <w:r>
        <w:t>An append-only record of who did what, sufficient for investigation and dispute.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AUD-001</w:t>
            </w:r>
          </w:p>
        </w:tc>
        <w:tc>
          <w:tcPr>
            <w:tcW w:type="dxa" w:w="2880"/>
          </w:tcPr>
          <w:p>
            <w:r>
              <w:t>Append-only events</w:t>
              <w:br/>
              <w:t>Audit events record authentication, authorization, administration, data change, billing, payment and security actions.</w:t>
            </w:r>
          </w:p>
        </w:tc>
        <w:tc>
          <w:tcPr>
            <w:tcW w:type="dxa" w:w="2880"/>
          </w:tcPr>
          <w:p>
            <w:r>
              <w:t>Audit records cannot be updated or deleted through any application path.</w:t>
            </w:r>
          </w:p>
        </w:tc>
      </w:tr>
      <w:tr>
        <w:tc>
          <w:tcPr>
            <w:tcW w:type="dxa" w:w="2880"/>
          </w:tcPr>
          <w:p>
            <w:r>
              <w:t>AUD-002</w:t>
            </w:r>
          </w:p>
        </w:tc>
        <w:tc>
          <w:tcPr>
            <w:tcW w:type="dxa" w:w="2880"/>
          </w:tcPr>
          <w:p>
            <w:r>
              <w:t>Event context</w:t>
              <w:br/>
              <w:t>Each event captures tenant, scope, actor, action, entity, timestamp, correlation ID, source, reason and sanitised before and after values.</w:t>
            </w:r>
          </w:p>
        </w:tc>
        <w:tc>
          <w:tcPr>
            <w:tcW w:type="dxa" w:w="2880"/>
          </w:tcPr>
          <w:p>
            <w:r>
              <w:t>Every sensitive mutation has enough context to investigate.</w:t>
            </w:r>
          </w:p>
        </w:tc>
      </w:tr>
      <w:tr>
        <w:tc>
          <w:tcPr>
            <w:tcW w:type="dxa" w:w="2880"/>
          </w:tcPr>
          <w:p>
            <w:r>
              <w:t>AUD-003</w:t>
            </w:r>
          </w:p>
        </w:tc>
        <w:tc>
          <w:tcPr>
            <w:tcW w:type="dxa" w:w="2880"/>
          </w:tcPr>
          <w:p>
            <w:r>
              <w:t>Redaction</w:t>
              <w:br/>
              <w:t>Secrets, tokens, password hashes, payment signatures and configured sensitive fields are redacted.</w:t>
            </w:r>
          </w:p>
        </w:tc>
        <w:tc>
          <w:tcPr>
            <w:tcW w:type="dxa" w:w="2880"/>
          </w:tcPr>
          <w:p>
            <w:r>
              <w:t>A test asserts a known secret value never appears in a stored audit document.</w:t>
            </w:r>
          </w:p>
        </w:tc>
      </w:tr>
      <w:tr>
        <w:tc>
          <w:tcPr>
            <w:tcW w:type="dxa" w:w="2880"/>
          </w:tcPr>
          <w:p>
            <w:r>
              <w:t>AUD-004</w:t>
            </w:r>
          </w:p>
        </w:tc>
        <w:tc>
          <w:tcPr>
            <w:tcW w:type="dxa" w:w="2880"/>
          </w:tcPr>
          <w:p>
            <w:r>
              <w:t>Activity timelines</w:t>
              <w:br/>
              <w:t>Entity timelines derive from authorized audit events.</w:t>
            </w:r>
          </w:p>
        </w:tc>
        <w:tc>
          <w:tcPr>
            <w:tcW w:type="dxa" w:w="2880"/>
          </w:tcPr>
          <w:p>
            <w:r>
              <w:t>A user sees only events for records they can access.</w:t>
            </w:r>
          </w:p>
        </w:tc>
      </w:tr>
      <w:tr>
        <w:tc>
          <w:tcPr>
            <w:tcW w:type="dxa" w:w="2880"/>
          </w:tcPr>
          <w:p>
            <w:r>
              <w:t>AUD-005</w:t>
            </w:r>
          </w:p>
        </w:tc>
        <w:tc>
          <w:tcPr>
            <w:tcW w:type="dxa" w:w="2880"/>
          </w:tcPr>
          <w:p>
            <w:r>
              <w:t>Retention and archive</w:t>
              <w:br/>
              <w:t>Retention is configurable; archived batches are hash-chained to object storage.</w:t>
            </w:r>
          </w:p>
        </w:tc>
        <w:tc>
          <w:tcPr>
            <w:tcW w:type="dxa" w:w="2880"/>
          </w:tcPr>
          <w:p>
            <w:r>
              <w:t>Tampering with or removing an archived batch is detectable.</w:t>
            </w:r>
          </w:p>
        </w:tc>
      </w:tr>
      <w:tr>
        <w:tc>
          <w:tcPr>
            <w:tcW w:type="dxa" w:w="2880"/>
          </w:tcPr>
          <w:p>
            <w:r>
              <w:t>AUD-006</w:t>
            </w:r>
          </w:p>
        </w:tc>
        <w:tc>
          <w:tcPr>
            <w:tcW w:type="dxa" w:w="2880"/>
          </w:tcPr>
          <w:p>
            <w:r>
              <w:t>Privileged reads</w:t>
              <w:br/>
              <w:t>Privileged reads and exports are recorded, not only writes.</w:t>
            </w:r>
          </w:p>
        </w:tc>
        <w:tc>
          <w:tcPr>
            <w:tcW w:type="dxa" w:w="2880"/>
          </w:tcPr>
          <w:p>
            <w:r>
              <w:t>A sensitive export is attributable to a user and a request.</w:t>
            </w:r>
          </w:p>
        </w:tc>
      </w:tr>
    </w:tbl>
    <w:p/>
    <w:p>
      <w:pPr>
        <w:pStyle w:val="Heading2"/>
      </w:pPr>
      <w:r>
        <w:rPr>
          <w:color w:val="102838"/>
        </w:rPr>
        <w:t>14. Observability (OpenTelemetry)</w:t>
      </w:r>
    </w:p>
    <w:p>
      <w:r>
        <w:t>Traces, metrics and structured logs, correlated by the same identifier.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OBS-001</w:t>
            </w:r>
          </w:p>
        </w:tc>
        <w:tc>
          <w:tcPr>
            <w:tcW w:type="dxa" w:w="2880"/>
          </w:tcPr>
          <w:p>
            <w:r>
              <w:t>Structured logs</w:t>
              <w:br/>
              <w:t>Logs are structured JSON carrying timestamp, level, service, environment, correlation ID, tenant and a safe actor identifier, with PII and secrets redacted.</w:t>
            </w:r>
          </w:p>
        </w:tc>
        <w:tc>
          <w:tcPr>
            <w:tcW w:type="dxa" w:w="2880"/>
          </w:tcPr>
          <w:p>
            <w:r>
              <w:t>A log scan finds no configured sensitive pattern.</w:t>
            </w:r>
          </w:p>
        </w:tc>
      </w:tr>
      <w:tr>
        <w:tc>
          <w:tcPr>
            <w:tcW w:type="dxa" w:w="2880"/>
          </w:tcPr>
          <w:p>
            <w:r>
              <w:t>OBS-002</w:t>
            </w:r>
          </w:p>
        </w:tc>
        <w:tc>
          <w:tcPr>
            <w:tcW w:type="dxa" w:w="2880"/>
          </w:tcPr>
          <w:p>
            <w:r>
              <w:t>Tracing</w:t>
              <w:br/>
              <w:t>OpenTelemetry instruments API, database, queue and outbound provider calls, starting before instrumented libraries are imported.</w:t>
            </w:r>
          </w:p>
        </w:tc>
        <w:tc>
          <w:tcPr>
            <w:tcW w:type="dxa" w:w="2880"/>
          </w:tcPr>
          <w:p>
            <w:r>
              <w:t>A sampled request shows the complete distributed path in the trace backend.</w:t>
            </w:r>
          </w:p>
        </w:tc>
      </w:tr>
      <w:tr>
        <w:tc>
          <w:tcPr>
            <w:tcW w:type="dxa" w:w="2880"/>
          </w:tcPr>
          <w:p>
            <w:r>
              <w:t>OBS-003</w:t>
            </w:r>
          </w:p>
        </w:tc>
        <w:tc>
          <w:tcPr>
            <w:tcW w:type="dxa" w:w="2880"/>
          </w:tcPr>
          <w:p>
            <w:r>
              <w:t>Metrics</w:t>
              <w:br/>
              <w:t>Metrics cover request latency and error rate, dependency health, queue age and failures, provider failures and billing runs.</w:t>
            </w:r>
          </w:p>
        </w:tc>
        <w:tc>
          <w:tcPr>
            <w:tcW w:type="dxa" w:w="2880"/>
          </w:tcPr>
          <w:p>
            <w:r>
              <w:t>A scrape endpoint serves them and alert thresholds are documented.</w:t>
            </w:r>
          </w:p>
        </w:tc>
      </w:tr>
      <w:tr>
        <w:tc>
          <w:tcPr>
            <w:tcW w:type="dxa" w:w="2880"/>
          </w:tcPr>
          <w:p>
            <w:r>
              <w:t>OBS-004</w:t>
            </w:r>
          </w:p>
        </w:tc>
        <w:tc>
          <w:tcPr>
            <w:tcW w:type="dxa" w:w="2880"/>
          </w:tcPr>
          <w:p>
            <w:r>
              <w:t>Health endpoints</w:t>
              <w:br/>
              <w:t>Liveness, readiness and dependency health are exposed without leaking internals.</w:t>
            </w:r>
          </w:p>
        </w:tc>
        <w:tc>
          <w:tcPr>
            <w:tcW w:type="dxa" w:w="2880"/>
          </w:tcPr>
          <w:p>
            <w:r>
              <w:t>An orchestrator distinguishes alive, ready and degraded.</w:t>
            </w:r>
          </w:p>
        </w:tc>
      </w:tr>
      <w:tr>
        <w:tc>
          <w:tcPr>
            <w:tcW w:type="dxa" w:w="2880"/>
          </w:tcPr>
          <w:p>
            <w:r>
              <w:t>OBS-005</w:t>
            </w:r>
          </w:p>
        </w:tc>
        <w:tc>
          <w:tcPr>
            <w:tcW w:type="dxa" w:w="2880"/>
          </w:tcPr>
          <w:p>
            <w:r>
              <w:t>Trace correlation</w:t>
              <w:br/>
              <w:t>The correlation ID appears in logs, traces and audit events for the same request.</w:t>
            </w:r>
          </w:p>
        </w:tc>
        <w:tc>
          <w:tcPr>
            <w:tcW w:type="dxa" w:w="2880"/>
          </w:tcPr>
          <w:p>
            <w:r>
              <w:t>One identifier joins a log line, a trace and an audit record.</w:t>
            </w:r>
          </w:p>
        </w:tc>
      </w:tr>
    </w:tbl>
    <w:p/>
    <w:p>
      <w:pPr>
        <w:pStyle w:val="Heading2"/>
      </w:pPr>
      <w:r>
        <w:rPr>
          <w:color w:val="102838"/>
        </w:rPr>
        <w:t>15. Frontend (Next.js)</w:t>
      </w:r>
    </w:p>
    <w:p>
      <w:r>
        <w:t>The customer and administrative surface. Server enforcement is never replaced by client logic.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WEB-001</w:t>
            </w:r>
          </w:p>
        </w:tc>
        <w:tc>
          <w:tcPr>
            <w:tcW w:type="dxa" w:w="2880"/>
          </w:tcPr>
          <w:p>
            <w:r>
              <w:t>Authentication UI</w:t>
              <w:br/>
              <w:t>Google sign-in and mobile OTP flows, including the OTP entry and resend path.</w:t>
            </w:r>
          </w:p>
        </w:tc>
        <w:tc>
          <w:tcPr>
            <w:tcW w:type="dxa" w:w="2880"/>
          </w:tcPr>
          <w:p>
            <w:r>
              <w:t>A browser test completes both flows against a real backend.</w:t>
            </w:r>
          </w:p>
        </w:tc>
      </w:tr>
      <w:tr>
        <w:tc>
          <w:tcPr>
            <w:tcW w:type="dxa" w:w="2880"/>
          </w:tcPr>
          <w:p>
            <w:r>
              <w:t>WEB-002</w:t>
            </w:r>
          </w:p>
        </w:tc>
        <w:tc>
          <w:tcPr>
            <w:tcW w:type="dxa" w:w="2880"/>
          </w:tcPr>
          <w:p>
            <w:r>
              <w:t>Role-aware navigation</w:t>
              <w:br/>
              <w:t>Menus and actions render from effective permissions.</w:t>
            </w:r>
          </w:p>
        </w:tc>
        <w:tc>
          <w:tcPr>
            <w:tcW w:type="dxa" w:w="2880"/>
          </w:tcPr>
          <w:p>
            <w:r>
              <w:t>A low-privilege user does not see an action they cannot perform, and forging the hint still fails server-side.</w:t>
            </w:r>
          </w:p>
        </w:tc>
      </w:tr>
      <w:tr>
        <w:tc>
          <w:tcPr>
            <w:tcW w:type="dxa" w:w="2880"/>
          </w:tcPr>
          <w:p>
            <w:r>
              <w:t>WEB-003</w:t>
            </w:r>
          </w:p>
        </w:tc>
        <w:tc>
          <w:tcPr>
            <w:tcW w:type="dxa" w:w="2880"/>
          </w:tcPr>
          <w:p>
            <w:r>
              <w:t>Tenant and hierarchy selection</w:t>
              <w:br/>
              <w:t>Users switch tenant and organization unit; visible data follows.</w:t>
            </w:r>
          </w:p>
        </w:tc>
        <w:tc>
          <w:tcPr>
            <w:tcW w:type="dxa" w:w="2880"/>
          </w:tcPr>
          <w:p>
            <w:r>
              <w:t>Switching changes the data set; a unit scope excludes sibling units.</w:t>
            </w:r>
          </w:p>
        </w:tc>
      </w:tr>
      <w:tr>
        <w:tc>
          <w:tcPr>
            <w:tcW w:type="dxa" w:w="2880"/>
          </w:tcPr>
          <w:p>
            <w:r>
              <w:t>WEB-004</w:t>
            </w:r>
          </w:p>
        </w:tc>
        <w:tc>
          <w:tcPr>
            <w:tcW w:type="dxa" w:w="2880"/>
          </w:tcPr>
          <w:p>
            <w:r>
              <w:t>Configurable CRUD screens</w:t>
              <w:br/>
              <w:t>List, search, filter, bulk select and detail screens driven by module metadata.</w:t>
            </w:r>
          </w:p>
        </w:tc>
        <w:tc>
          <w:tcPr>
            <w:tcW w:type="dxa" w:w="2880"/>
          </w:tcPr>
          <w:p>
            <w:r>
              <w:t>A new module gains screens without bespoke UI code.</w:t>
            </w:r>
          </w:p>
        </w:tc>
      </w:tr>
      <w:tr>
        <w:tc>
          <w:tcPr>
            <w:tcW w:type="dxa" w:w="2880"/>
          </w:tcPr>
          <w:p>
            <w:r>
              <w:t>WEB-005</w:t>
            </w:r>
          </w:p>
        </w:tc>
        <w:tc>
          <w:tcPr>
            <w:tcW w:type="dxa" w:w="2880"/>
          </w:tcPr>
          <w:p>
            <w:r>
              <w:t>Dashboards and reports</w:t>
              <w:br/>
              <w:t>Charts and tables render from report endpoints with saved views.</w:t>
            </w:r>
          </w:p>
        </w:tc>
        <w:tc>
          <w:tcPr>
            <w:tcW w:type="dxa" w:w="2880"/>
          </w:tcPr>
          <w:p>
            <w:r>
              <w:t>A report renders from live API data, not fixtures.</w:t>
            </w:r>
          </w:p>
        </w:tc>
      </w:tr>
      <w:tr>
        <w:tc>
          <w:tcPr>
            <w:tcW w:type="dxa" w:w="2880"/>
          </w:tcPr>
          <w:p>
            <w:r>
              <w:t>WEB-006</w:t>
            </w:r>
          </w:p>
        </w:tc>
        <w:tc>
          <w:tcPr>
            <w:tcW w:type="dxa" w:w="2880"/>
          </w:tcPr>
          <w:p>
            <w:r>
              <w:t>Notification bell</w:t>
              <w:br/>
              <w:t>A bell icon shows unread count and opens the in-app inbox.</w:t>
            </w:r>
          </w:p>
        </w:tc>
        <w:tc>
          <w:tcPr>
            <w:tcW w:type="dxa" w:w="2880"/>
          </w:tcPr>
          <w:p>
            <w:r>
              <w:t>The badge reflects server state and clears on read.</w:t>
            </w:r>
          </w:p>
        </w:tc>
      </w:tr>
      <w:tr>
        <w:tc>
          <w:tcPr>
            <w:tcW w:type="dxa" w:w="2880"/>
          </w:tcPr>
          <w:p>
            <w:r>
              <w:t>WEB-007</w:t>
            </w:r>
          </w:p>
        </w:tc>
        <w:tc>
          <w:tcPr>
            <w:tcW w:type="dxa" w:w="2880"/>
          </w:tcPr>
          <w:p>
            <w:r>
              <w:t>Billing screens</w:t>
              <w:br/>
              <w:t>Plan, subscription, usage, invoices and refund requests.</w:t>
            </w:r>
          </w:p>
        </w:tc>
        <w:tc>
          <w:tcPr>
            <w:tcW w:type="dxa" w:w="2880"/>
          </w:tcPr>
          <w:p>
            <w:r>
              <w:t>A quota refusal is shown to the user with the reason, not failed silently.</w:t>
            </w:r>
          </w:p>
        </w:tc>
      </w:tr>
      <w:tr>
        <w:tc>
          <w:tcPr>
            <w:tcW w:type="dxa" w:w="2880"/>
          </w:tcPr>
          <w:p>
            <w:r>
              <w:t>WEB-008</w:t>
            </w:r>
          </w:p>
        </w:tc>
        <w:tc>
          <w:tcPr>
            <w:tcW w:type="dxa" w:w="2880"/>
          </w:tcPr>
          <w:p>
            <w:r>
              <w:t>Support screens</w:t>
              <w:br/>
              <w:t>Ticket creation, thread and status.</w:t>
            </w:r>
          </w:p>
        </w:tc>
        <w:tc>
          <w:tcPr>
            <w:tcW w:type="dxa" w:w="2880"/>
          </w:tcPr>
          <w:p>
            <w:r>
              <w:t>A customer sees only their own tickets.</w:t>
            </w:r>
          </w:p>
        </w:tc>
      </w:tr>
    </w:tbl>
    <w:p/>
    <w:p>
      <w:pPr>
        <w:pStyle w:val="Heading2"/>
      </w:pPr>
      <w:r>
        <w:rPr>
          <w:color w:val="102838"/>
        </w:rPr>
        <w:t>16. Delivery and operations</w:t>
      </w:r>
    </w:p>
    <w:p>
      <w:r>
        <w:t>One container image for the application, an external database, and the checks that must pass before it ships.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Acceptance</w:t>
            </w:r>
          </w:p>
        </w:tc>
      </w:tr>
      <w:tr>
        <w:tc>
          <w:tcPr>
            <w:tcW w:type="dxa" w:w="2880"/>
          </w:tcPr>
          <w:p>
            <w:r>
              <w:t>OPS-001</w:t>
            </w:r>
          </w:p>
        </w:tc>
        <w:tc>
          <w:tcPr>
            <w:tcW w:type="dxa" w:w="2880"/>
          </w:tcPr>
          <w:p>
            <w:r>
              <w:t>Single application image</w:t>
              <w:br/>
              <w:t>Next.js and NestJS build into one image, started by a process supervisor, configured entirely by environment variables.</w:t>
            </w:r>
          </w:p>
        </w:tc>
        <w:tc>
          <w:tcPr>
            <w:tcW w:type="dxa" w:w="2880"/>
          </w:tcPr>
          <w:p>
            <w:r>
              <w:t>docker run with a database URL starts a working application.</w:t>
            </w:r>
          </w:p>
        </w:tc>
      </w:tr>
      <w:tr>
        <w:tc>
          <w:tcPr>
            <w:tcW w:type="dxa" w:w="2880"/>
          </w:tcPr>
          <w:p>
            <w:r>
              <w:t>OPS-002</w:t>
            </w:r>
          </w:p>
        </w:tc>
        <w:tc>
          <w:tcPr>
            <w:tcW w:type="dxa" w:w="2880"/>
          </w:tcPr>
          <w:p>
            <w:r>
              <w:t>External database</w:t>
              <w:br/>
              <w:t>MongoDB runs outside the image as a replica set, since transactions back the outbox and idempotency.</w:t>
            </w:r>
          </w:p>
        </w:tc>
        <w:tc>
          <w:tcPr>
            <w:tcW w:type="dxa" w:w="2880"/>
          </w:tcPr>
          <w:p>
            <w:r>
              <w:t>Replacing the container loses no data; a standalone mongod is refused at startup.</w:t>
            </w:r>
          </w:p>
        </w:tc>
      </w:tr>
      <w:tr>
        <w:tc>
          <w:tcPr>
            <w:tcW w:type="dxa" w:w="2880"/>
          </w:tcPr>
          <w:p>
            <w:r>
              <w:t>OPS-003</w:t>
            </w:r>
          </w:p>
        </w:tc>
        <w:tc>
          <w:tcPr>
            <w:tcW w:type="dxa" w:w="2880"/>
          </w:tcPr>
          <w:p>
            <w:r>
              <w:t>Configuration validation</w:t>
              <w:br/>
              <w:t>Configuration is validated against a versioned schema before startup, with production guards for transport encryption, real providers and secret references.</w:t>
            </w:r>
          </w:p>
        </w:tc>
        <w:tc>
          <w:tcPr>
            <w:tcW w:type="dxa" w:w="2880"/>
          </w:tcPr>
          <w:p>
            <w:r>
              <w:t>An invalid or unsafe production configuration fails fast with an actionable report.</w:t>
            </w:r>
          </w:p>
        </w:tc>
      </w:tr>
      <w:tr>
        <w:tc>
          <w:tcPr>
            <w:tcW w:type="dxa" w:w="2880"/>
          </w:tcPr>
          <w:p>
            <w:r>
              <w:t>OPS-004</w:t>
            </w:r>
          </w:p>
        </w:tc>
        <w:tc>
          <w:tcPr>
            <w:tcW w:type="dxa" w:w="2880"/>
          </w:tcPr>
          <w:p>
            <w:r>
              <w:t>Local development stack</w:t>
              <w:br/>
              <w:t>Compose brings up the database, cache, object storage and a mail capture service.</w:t>
            </w:r>
          </w:p>
        </w:tc>
        <w:tc>
          <w:tcPr>
            <w:tcW w:type="dxa" w:w="2880"/>
          </w:tcPr>
          <w:p>
            <w:r>
              <w:t>A clean machine starts the stack with one documented command.</w:t>
            </w:r>
          </w:p>
        </w:tc>
      </w:tr>
      <w:tr>
        <w:tc>
          <w:tcPr>
            <w:tcW w:type="dxa" w:w="2880"/>
          </w:tcPr>
          <w:p>
            <w:r>
              <w:t>OPS-005</w:t>
            </w:r>
          </w:p>
        </w:tc>
        <w:tc>
          <w:tcPr>
            <w:tcW w:type="dxa" w:w="2880"/>
          </w:tcPr>
          <w:p>
            <w:r>
              <w:t>Migrations and seed</w:t>
              <w:br/>
              <w:t>Schema and index migrations are versioned, idempotent and support a dry run; seed data creates demo accounts safely.</w:t>
            </w:r>
          </w:p>
        </w:tc>
        <w:tc>
          <w:tcPr>
            <w:tcW w:type="dxa" w:w="2880"/>
          </w:tcPr>
          <w:p>
            <w:r>
              <w:t>Running migrations twice is a no-op; seed refuses to run in production.</w:t>
            </w:r>
          </w:p>
        </w:tc>
      </w:tr>
      <w:tr>
        <w:tc>
          <w:tcPr>
            <w:tcW w:type="dxa" w:w="2880"/>
          </w:tcPr>
          <w:p>
            <w:r>
              <w:t>OPS-006</w:t>
            </w:r>
          </w:p>
        </w:tc>
        <w:tc>
          <w:tcPr>
            <w:tcW w:type="dxa" w:w="2880"/>
          </w:tcPr>
          <w:p>
            <w:r>
              <w:t>Graceful shutdown</w:t>
              <w:br/>
              <w:t>Requests drain and in-flight jobs complete or return to the queue on shutdown.</w:t>
            </w:r>
          </w:p>
        </w:tc>
        <w:tc>
          <w:tcPr>
            <w:tcW w:type="dxa" w:w="2880"/>
          </w:tcPr>
          <w:p>
            <w:r>
              <w:t>A restart corrupts no write and loses no acknowledged job.</w:t>
            </w:r>
          </w:p>
        </w:tc>
      </w:tr>
      <w:tr>
        <w:tc>
          <w:tcPr>
            <w:tcW w:type="dxa" w:w="2880"/>
          </w:tcPr>
          <w:p>
            <w:r>
              <w:t>OPS-007</w:t>
            </w:r>
          </w:p>
        </w:tc>
        <w:tc>
          <w:tcPr>
            <w:tcW w:type="dxa" w:w="2880"/>
          </w:tcPr>
          <w:p>
            <w:r>
              <w:t>Backup and restore</w:t>
              <w:br/>
              <w:t>Backup configuration and a documented restore path exist and are tested.</w:t>
            </w:r>
          </w:p>
        </w:tc>
        <w:tc>
          <w:tcPr>
            <w:tcW w:type="dxa" w:w="2880"/>
          </w:tcPr>
          <w:p>
            <w:r>
              <w:t>A test backup restores and verifies in a non-production environment.</w:t>
            </w:r>
          </w:p>
        </w:tc>
      </w:tr>
      <w:tr>
        <w:tc>
          <w:tcPr>
            <w:tcW w:type="dxa" w:w="2880"/>
          </w:tcPr>
          <w:p>
            <w:r>
              <w:t>SEC-001</w:t>
            </w:r>
          </w:p>
        </w:tc>
        <w:tc>
          <w:tcPr>
            <w:tcW w:type="dxa" w:w="2880"/>
          </w:tcPr>
          <w:p>
            <w:r>
              <w:t>Transport and headers</w:t>
              <w:br/>
              <w:t>Secure headers, CORS allowlist, payload limits and injection protection are enforced; TLS is required in deployed environments.</w:t>
            </w:r>
          </w:p>
        </w:tc>
        <w:tc>
          <w:tcPr>
            <w:tcW w:type="dxa" w:w="2880"/>
          </w:tcPr>
          <w:p>
            <w:r>
              <w:t>Security tests cover injection and request manipulation; production refuses insecure endpoints.</w:t>
            </w:r>
          </w:p>
        </w:tc>
      </w:tr>
      <w:tr>
        <w:tc>
          <w:tcPr>
            <w:tcW w:type="dxa" w:w="2880"/>
          </w:tcPr>
          <w:p>
            <w:r>
              <w:t>SEC-002</w:t>
            </w:r>
          </w:p>
        </w:tc>
        <w:tc>
          <w:tcPr>
            <w:tcW w:type="dxa" w:w="2880"/>
          </w:tcPr>
          <w:p>
            <w:r>
              <w:t>Dependency and secret scanning</w:t>
              <w:br/>
              <w:t>CI runs dependency, secret and container scanning and blocks on critical findings.</w:t>
            </w:r>
          </w:p>
        </w:tc>
        <w:tc>
          <w:tcPr>
            <w:tcW w:type="dxa" w:w="2880"/>
          </w:tcPr>
          <w:p>
            <w:r>
              <w:t>The build produces a clear pass or fail, and an allowlist entry never disables detection elsewhere.</w:t>
            </w:r>
          </w:p>
        </w:tc>
      </w:tr>
      <w:tr>
        <w:tc>
          <w:tcPr>
            <w:tcW w:type="dxa" w:w="2880"/>
          </w:tcPr>
          <w:p>
            <w:r>
              <w:t>QA-001</w:t>
            </w:r>
          </w:p>
        </w:tc>
        <w:tc>
          <w:tcPr>
            <w:tcW w:type="dxa" w:w="2880"/>
          </w:tcPr>
          <w:p>
            <w:r>
              <w:t>Automated suites</w:t>
              <w:br/>
              <w:t>Unit, integration against real containerised dependencies, API contract, tenant-isolation, security and browser end-to-end suites.</w:t>
            </w:r>
          </w:p>
        </w:tc>
        <w:tc>
          <w:tcPr>
            <w:tcW w:type="dxa" w:w="2880"/>
          </w:tcPr>
          <w:p>
            <w:r>
              <w:t>All suites run in CI on every change.</w:t>
            </w:r>
          </w:p>
        </w:tc>
      </w:tr>
      <w:tr>
        <w:tc>
          <w:tcPr>
            <w:tcW w:type="dxa" w:w="2880"/>
          </w:tcPr>
          <w:p>
            <w:r>
              <w:t>QA-002</w:t>
            </w:r>
          </w:p>
        </w:tc>
        <w:tc>
          <w:tcPr>
            <w:tcW w:type="dxa" w:w="2880"/>
          </w:tcPr>
          <w:p>
            <w:r>
              <w:t>Definition of done</w:t>
              <w:br/>
              <w:t>A clean clone installs, builds, type-checks, tests, generates its API client without drift and passes CI.</w:t>
            </w:r>
          </w:p>
        </w:tc>
        <w:tc>
          <w:tcPr>
            <w:tcW w:type="dxa" w:w="2880"/>
          </w:tcPr>
          <w:p>
            <w:r>
              <w:t>The remote revision and the locally verified revision match.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color w:val="102838"/>
        </w:rPr>
        <w:t>Definition of done</w:t>
      </w:r>
    </w:p>
    <w:p>
      <w:pPr>
        <w:pStyle w:val="ListBullet"/>
      </w:pPr>
      <w:r>
        <w:t>A clean clone installs, builds, type-checks and passes every automated suite.</w:t>
      </w:r>
    </w:p>
    <w:p>
      <w:pPr>
        <w:pStyle w:val="ListBullet"/>
      </w:pPr>
      <w:r>
        <w:t>The application starts from a single documented command against an external database.</w:t>
      </w:r>
    </w:p>
    <w:p>
      <w:pPr>
        <w:pStyle w:val="ListBullet"/>
      </w:pPr>
      <w:r>
        <w:t>Migrations apply idempotently on both a clean and an existing database.</w:t>
      </w:r>
    </w:p>
    <w:p>
      <w:pPr>
        <w:pStyle w:val="ListBullet"/>
      </w:pPr>
      <w:r>
        <w:t>Tenant, role and reseller isolation hold across API, repository, jobs, reports and files.</w:t>
      </w:r>
    </w:p>
    <w:p>
      <w:pPr>
        <w:pStyle w:val="ListBullet"/>
      </w:pPr>
      <w:r>
        <w:t>Firebase sign-in and OTP, Razorpay payment and refund, notifications on all four channels, transactions, rules, scoring, reporting and support all pass acceptance tests.</w:t>
      </w:r>
    </w:p>
    <w:p>
      <w:pPr>
        <w:pStyle w:val="ListBullet"/>
      </w:pPr>
      <w:r>
        <w:t>Mock providers are the safe default; live providers activate only through validated secret references.</w:t>
      </w:r>
    </w:p>
    <w:p>
      <w:pPr>
        <w:pStyle w:val="ListBullet"/>
      </w:pPr>
      <w:r>
        <w:t>No client-specific business entity is embedded in the reusable core.</w:t>
      </w:r>
    </w:p>
    <w:p>
      <w:pPr>
        <w:pStyle w:val="ListBullet"/>
      </w:pPr>
      <w:r>
        <w:t>A sample client project adds one domain module without modifying core internals.</w:t>
      </w:r>
    </w:p>
    <w:p>
      <w:pPr>
        <w:pStyle w:val="ListBullet"/>
      </w:pPr>
      <w:r>
        <w:t>CI passes lint, type-check, tests, security scans and the API contract check.</w:t>
      </w:r>
    </w:p>
    <w:p/>
    <w:p>
      <w:r>
        <w:rPr>
          <w:i/>
        </w:rPr>
        <w:t>122 numbered requirements across 16 sections.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