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keepLines w:val="0"/>
        <w:widowControl/>
        <w:spacing w:before="0" w:after="240" w:line="264" w:lineRule="auto"/>
        <w:jc w:val="left"/>
      </w:pPr>
      <w:r>
        <w:rPr>
          <w:rFonts w:ascii="Calibri" w:hAnsi="Calibri" w:eastAsia="Calibri"/>
          <w:b/>
          <w:i w:val="0"/>
          <w:color w:val="00A6C8"/>
          <w:sz w:val="20"/>
        </w:rPr>
        <w:t>TECHNICAL REQUIREMENTS SPECIFICATION</w:t>
      </w:r>
    </w:p>
    <w:p>
      <w:pPr>
        <w:keepNext w:val="0"/>
        <w:keepLines w:val="0"/>
        <w:widowControl/>
        <w:spacing w:before="0" w:after="100" w:line="240" w:lineRule="auto"/>
      </w:pPr>
      <w:r>
        <w:rPr>
          <w:rFonts w:ascii="Calibri" w:hAnsi="Calibri" w:eastAsia="Calibri"/>
          <w:b/>
          <w:color w:val="0B2545"/>
          <w:sz w:val="54"/>
        </w:rPr>
        <w:t>Reusable SaaS Core</w:t>
      </w:r>
    </w:p>
    <w:p>
      <w:pPr>
        <w:keepNext w:val="0"/>
        <w:keepLines w:val="0"/>
        <w:widowControl/>
        <w:spacing w:before="0" w:after="360" w:line="240" w:lineRule="auto"/>
      </w:pPr>
      <w:r>
        <w:rPr>
          <w:rFonts w:ascii="Calibri" w:hAnsi="Calibri" w:eastAsia="Calibri"/>
          <w:b/>
          <w:color w:val="245986"/>
          <w:sz w:val="32"/>
        </w:rPr>
        <w:t>Backend Boilerplate - NestJS + MongoDB</w:t>
      </w:r>
    </w:p>
    <w:tbl>
      <w:tblPr>
        <w:tblW w:type="dxa" w:w="9360"/>
        <w:jc w:val="left"/>
        <w:tblLayout w:type="fixed"/>
        <w:tblLook w:firstColumn="1" w:firstRow="1" w:lastColumn="0" w:lastRow="0" w:noHBand="0" w:noVBand="1" w:val="04A0"/>
        <w:tblInd w:type="dxa" w:w="120"/>
      </w:tblPr>
      <w:tblGrid>
        <w:gridCol w:w="9360"/>
      </w:tblGrid>
      <w:tr>
        <w:trPr/>
        <w:tc>
          <w:tcPr>
            <w:tcW w:type="dxa" w:w="9360"/>
            <w:shd w:fill="EAF4F8"/>
            <w:tcBorders>
              <w:top w:val="single" w:sz="8" w:color="00A6C8"/>
              <w:left w:val="single" w:sz="8" w:color="00A6C8"/>
              <w:bottom w:val="single" w:sz="8" w:color="00A6C8"/>
              <w:right w:val="single" w:sz="8" w:color="00A6C8"/>
              <w:insideH w:val="single" w:sz="8" w:color="00A6C8"/>
              <w:insideV w:val="single" w:sz="8" w:color="00A6C8"/>
            </w:tcBorders>
            <w:tcMar>
              <w:top w:w="100" w:type="dxa"/>
              <w:bottom w:w="100" w:type="dxa"/>
              <w:start w:w="120" w:type="dxa"/>
              <w:end w:w="120" w:type="dxa"/>
            </w:tcMar>
          </w:tcPr>
          <w:p>
            <w:pPr>
              <w:keepNext w:val="0"/>
              <w:keepLines w:val="0"/>
              <w:widowControl/>
              <w:spacing w:before="40" w:after="40" w:line="264" w:lineRule="auto"/>
            </w:pPr>
            <w:r>
              <w:rPr>
                <w:rFonts w:ascii="Calibri" w:hAnsi="Calibri" w:eastAsia="Calibri"/>
                <w:b/>
                <w:color w:val="0B2545"/>
              </w:rPr>
              <w:t xml:space="preserve">Purpose: </w:t>
            </w:r>
            <w:r>
              <w:rPr>
                <w:rFonts w:ascii="Calibri" w:hAnsi="Calibri" w:eastAsia="Calibri"/>
                <w:color w:val="172033"/>
              </w:rPr>
              <w:t>Define the complete backend foundation that will exist in every new SaaS project. A project generator or LLM will configure this foundation and add only the client-specific domain modules.</w:t>
            </w:r>
          </w:p>
        </w:tc>
      </w:tr>
    </w:tbl>
    <w:p>
      <w:pPr>
        <w:keepNext w:val="0"/>
        <w:keepLines w:val="0"/>
        <w:widowControl/>
        <w:spacing w:before="0" w:after="40" w:line="264" w:lineRule="auto"/>
        <w:jc w:val="left"/>
      </w:pPr>
      <w:r>
        <w:rPr>
          <w:rFonts w:ascii="Calibri" w:hAnsi="Calibri" w:eastAsia="Calibri"/>
          <w:b w:val="0"/>
          <w:i w:val="0"/>
          <w:color w:val="172033"/>
          <w:sz w:val="22"/>
        </w:rPr>
      </w:r>
    </w:p>
    <w:p>
      <w:pPr>
        <w:keepNext w:val="0"/>
        <w:keepLines w:val="0"/>
        <w:widowControl/>
        <w:spacing w:before="0" w:after="440" w:line="264" w:lineRule="auto"/>
        <w:jc w:val="left"/>
      </w:pPr>
      <w:r>
        <w:rPr>
          <w:rFonts w:ascii="Calibri" w:hAnsi="Calibri" w:eastAsia="Calibri"/>
          <w:b w:val="0"/>
          <w:i w:val="0"/>
          <w:color w:val="172033"/>
          <w:sz w:val="22"/>
        </w:rPr>
      </w:r>
    </w:p>
    <w:tbl>
      <w:tblPr>
        <w:tblStyle w:val="TableGrid"/>
        <w:tblW w:type="dxa" w:w="9360"/>
        <w:jc w:val="left"/>
        <w:tblLayout w:type="fixed"/>
        <w:tblLook w:firstColumn="1" w:firstRow="1" w:lastColumn="0" w:lastRow="0" w:noHBand="0" w:noVBand="1" w:val="04A0"/>
        <w:tblInd w:type="dxa" w:w="120"/>
      </w:tblPr>
      <w:tblGrid>
        <w:gridCol w:w="2700"/>
        <w:gridCol w:w="6660"/>
      </w:tblGrid>
      <w:tr>
        <w:trPr>
          <w:tblHeader w:val="true"/>
        </w:trPr>
        <w:tc>
          <w:tcPr>
            <w:tcW w:type="dxa" w:w="2700"/>
            <w:shd w:fill="245986"/>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40" w:lineRule="auto"/>
            </w:pPr>
            <w:r>
              <w:rPr>
                <w:rFonts w:ascii="Calibri" w:hAnsi="Calibri" w:eastAsia="Calibri"/>
                <w:b/>
                <w:color w:val="FFFFFF"/>
                <w:sz w:val="18"/>
              </w:rPr>
              <w:t>Document field</w:t>
            </w:r>
          </w:p>
        </w:tc>
        <w:tc>
          <w:tcPr>
            <w:tcW w:type="dxa" w:w="6660"/>
            <w:shd w:fill="245986"/>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40" w:lineRule="auto"/>
            </w:pPr>
            <w:r>
              <w:rPr>
                <w:rFonts w:ascii="Calibri" w:hAnsi="Calibri" w:eastAsia="Calibri"/>
                <w:b/>
                <w:color w:val="FFFFFF"/>
                <w:sz w:val="18"/>
              </w:rPr>
              <w:t>Value</w:t>
            </w:r>
          </w:p>
        </w:tc>
      </w:tr>
      <w:tr>
        <w:trPr/>
        <w:tc>
          <w:tcPr>
            <w:tcW w:type="dxa" w:w="27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20"/>
              </w:rPr>
              <w:t>Document type</w:t>
            </w:r>
          </w:p>
        </w:tc>
        <w:tc>
          <w:tcPr>
            <w:tcW w:type="dxa" w:w="666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20"/>
              </w:rPr>
              <w:t>Backend product requirements specification</w:t>
            </w:r>
          </w:p>
        </w:tc>
      </w:tr>
      <w:tr>
        <w:trPr/>
        <w:tc>
          <w:tcPr>
            <w:tcW w:type="dxa" w:w="27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20"/>
              </w:rPr>
              <w:t>Target implementation</w:t>
            </w:r>
          </w:p>
        </w:tc>
        <w:tc>
          <w:tcPr>
            <w:tcW w:type="dxa" w:w="666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20"/>
              </w:rPr>
              <w:t>NestJS modular monolith on Node.js</w:t>
            </w:r>
          </w:p>
        </w:tc>
      </w:tr>
      <w:tr>
        <w:trPr/>
        <w:tc>
          <w:tcPr>
            <w:tcW w:type="dxa" w:w="27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20"/>
              </w:rPr>
              <w:t>Primary database</w:t>
            </w:r>
          </w:p>
        </w:tc>
        <w:tc>
          <w:tcPr>
            <w:tcW w:type="dxa" w:w="666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20"/>
              </w:rPr>
              <w:t>MongoDB replica set</w:t>
            </w:r>
          </w:p>
        </w:tc>
      </w:tr>
      <w:tr>
        <w:trPr/>
        <w:tc>
          <w:tcPr>
            <w:tcW w:type="dxa" w:w="27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20"/>
              </w:rPr>
              <w:t>Core supporting services</w:t>
            </w:r>
          </w:p>
        </w:tc>
        <w:tc>
          <w:tcPr>
            <w:tcW w:type="dxa" w:w="666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20"/>
              </w:rPr>
              <w:t>Redis, BullMQ and S3-compatible object storage</w:t>
            </w:r>
          </w:p>
        </w:tc>
      </w:tr>
      <w:tr>
        <w:trPr/>
        <w:tc>
          <w:tcPr>
            <w:tcW w:type="dxa" w:w="27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20"/>
              </w:rPr>
              <w:t>Version</w:t>
            </w:r>
          </w:p>
        </w:tc>
        <w:tc>
          <w:tcPr>
            <w:tcW w:type="dxa" w:w="666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20"/>
              </w:rPr>
              <w:t>1.0</w:t>
            </w:r>
          </w:p>
        </w:tc>
      </w:tr>
      <w:tr>
        <w:trPr/>
        <w:tc>
          <w:tcPr>
            <w:tcW w:type="dxa" w:w="27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20"/>
              </w:rPr>
              <w:t>Date</w:t>
            </w:r>
          </w:p>
        </w:tc>
        <w:tc>
          <w:tcPr>
            <w:tcW w:type="dxa" w:w="666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20"/>
              </w:rPr>
              <w:t>7 August 2026</w:t>
            </w:r>
          </w:p>
        </w:tc>
      </w:tr>
      <w:tr>
        <w:trPr/>
        <w:tc>
          <w:tcPr>
            <w:tcW w:type="dxa" w:w="27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20"/>
              </w:rPr>
              <w:t>Status</w:t>
            </w:r>
          </w:p>
        </w:tc>
        <w:tc>
          <w:tcPr>
            <w:tcW w:type="dxa" w:w="666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20"/>
              </w:rPr>
              <w:t>Implementation baseline</w:t>
            </w:r>
          </w:p>
        </w:tc>
      </w:tr>
    </w:tbl>
    <w:p>
      <w:pPr>
        <w:keepNext w:val="0"/>
        <w:keepLines w:val="0"/>
        <w:widowControl/>
        <w:spacing w:before="0" w:after="40" w:line="264" w:lineRule="auto"/>
        <w:jc w:val="left"/>
      </w:pPr>
      <w:r>
        <w:rPr>
          <w:rFonts w:ascii="Calibri" w:hAnsi="Calibri" w:eastAsia="Calibri"/>
          <w:b w:val="0"/>
          <w:i w:val="0"/>
          <w:color w:val="172033"/>
          <w:sz w:val="22"/>
        </w:rPr>
      </w:r>
    </w:p>
    <w:p>
      <w:pPr>
        <w:keepNext w:val="0"/>
        <w:keepLines w:val="0"/>
        <w:widowControl/>
        <w:spacing w:before="280" w:after="0" w:line="264" w:lineRule="auto"/>
        <w:jc w:val="left"/>
      </w:pPr>
      <w:r>
        <w:rPr>
          <w:rFonts w:ascii="Calibri" w:hAnsi="Calibri" w:eastAsia="Calibri"/>
          <w:b w:val="0"/>
          <w:i/>
          <w:color w:val="667085"/>
          <w:sz w:val="19"/>
        </w:rPr>
        <w:t>This specification covers backend services and APIs only. Client-specific visual interfaces are designed and implemented separately against stable API contracts.</w:t>
      </w:r>
    </w:p>
    <w:p>
      <w:r>
        <w:br w:type="page"/>
      </w:r>
    </w:p>
    <w:p>
      <w:pPr>
        <w:pStyle w:val="Heading1"/>
        <w:keepNext/>
      </w:pPr>
      <w:r>
        <w:t>Document control</w:t>
      </w:r>
    </w:p>
    <w:tbl>
      <w:tblPr>
        <w:tblStyle w:val="TableGrid"/>
        <w:tblW w:type="dxa" w:w="9360"/>
        <w:jc w:val="left"/>
        <w:tblLayout w:type="fixed"/>
        <w:tblLook w:firstColumn="1" w:firstRow="1" w:lastColumn="0" w:lastRow="0" w:noHBand="0" w:noVBand="1" w:val="04A0"/>
        <w:tblInd w:type="dxa" w:w="120"/>
      </w:tblPr>
      <w:tblGrid>
        <w:gridCol w:w="2200"/>
        <w:gridCol w:w="7160"/>
      </w:tblGrid>
      <w:tr>
        <w:trPr>
          <w:tblHeader w:val="true"/>
        </w:trPr>
        <w:tc>
          <w:tcPr>
            <w:tcW w:type="dxa" w:w="2200"/>
            <w:shd w:fill="0B2545"/>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40" w:lineRule="auto"/>
            </w:pPr>
            <w:r>
              <w:rPr>
                <w:rFonts w:ascii="Calibri" w:hAnsi="Calibri" w:eastAsia="Calibri"/>
                <w:b/>
                <w:color w:val="FFFFFF"/>
                <w:sz w:val="18"/>
              </w:rPr>
              <w:t>Item</w:t>
            </w:r>
          </w:p>
        </w:tc>
        <w:tc>
          <w:tcPr>
            <w:tcW w:type="dxa" w:w="7160"/>
            <w:shd w:fill="0B2545"/>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40" w:lineRule="auto"/>
            </w:pPr>
            <w:r>
              <w:rPr>
                <w:rFonts w:ascii="Calibri" w:hAnsi="Calibri" w:eastAsia="Calibri"/>
                <w:b/>
                <w:color w:val="FFFFFF"/>
                <w:sz w:val="18"/>
              </w:rPr>
              <w:t>Definition</w:t>
            </w:r>
          </w:p>
        </w:tc>
      </w:tr>
      <w:tr>
        <w:trPr/>
        <w:tc>
          <w:tcPr>
            <w:tcW w:type="dxa" w:w="22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8"/>
              </w:rPr>
              <w:t>Audience</w:t>
            </w:r>
          </w:p>
        </w:tc>
        <w:tc>
          <w:tcPr>
            <w:tcW w:type="dxa" w:w="716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8"/>
              </w:rPr>
              <w:t>Backend engineers, solution architects, QA engineers, DevOps engineers and AI coding agents</w:t>
            </w:r>
          </w:p>
        </w:tc>
      </w:tr>
      <w:tr>
        <w:trPr/>
        <w:tc>
          <w:tcPr>
            <w:tcW w:type="dxa" w:w="22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8"/>
              </w:rPr>
              <w:t>Requirement language</w:t>
            </w:r>
          </w:p>
        </w:tc>
        <w:tc>
          <w:tcPr>
            <w:tcW w:type="dxa" w:w="716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8"/>
              </w:rPr>
              <w:t>“Shall” denotes a mandatory requirement; “should” denotes a recommended default</w:t>
            </w:r>
          </w:p>
        </w:tc>
      </w:tr>
      <w:tr>
        <w:trPr/>
        <w:tc>
          <w:tcPr>
            <w:tcW w:type="dxa" w:w="22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8"/>
              </w:rPr>
              <w:t>Source alignment</w:t>
            </w:r>
          </w:p>
        </w:tc>
        <w:tc>
          <w:tcPr>
            <w:tcW w:type="dxa" w:w="716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8"/>
              </w:rPr>
              <w:t>User-defined SaaS Core baseline and the supplied architecture proposal</w:t>
            </w:r>
          </w:p>
        </w:tc>
      </w:tr>
      <w:tr>
        <w:trPr/>
        <w:tc>
          <w:tcPr>
            <w:tcW w:type="dxa" w:w="22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8"/>
              </w:rPr>
              <w:t>Change rule</w:t>
            </w:r>
          </w:p>
        </w:tc>
        <w:tc>
          <w:tcPr>
            <w:tcW w:type="dxa" w:w="716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8"/>
              </w:rPr>
              <w:t>Changes to tenancy, authentication, billing or payment contracts require architecture review</w:t>
            </w:r>
          </w:p>
        </w:tc>
      </w:tr>
    </w:tbl>
    <w:p>
      <w:pPr>
        <w:keepNext w:val="0"/>
        <w:keepLines w:val="0"/>
        <w:widowControl/>
        <w:spacing w:before="0" w:after="40" w:line="264" w:lineRule="auto"/>
        <w:jc w:val="left"/>
      </w:pPr>
      <w:r>
        <w:rPr>
          <w:rFonts w:ascii="Calibri" w:hAnsi="Calibri" w:eastAsia="Calibri"/>
          <w:b w:val="0"/>
          <w:i w:val="0"/>
          <w:color w:val="172033"/>
          <w:sz w:val="22"/>
        </w:rPr>
      </w:r>
    </w:p>
    <w:p>
      <w:pPr>
        <w:pStyle w:val="Heading1"/>
        <w:keepNext/>
      </w:pPr>
      <w:r>
        <w:t>Contents</w:t>
      </w:r>
    </w:p>
    <w:p>
      <w:pPr>
        <w:keepNext w:val="0"/>
        <w:keepLines w:val="0"/>
        <w:widowControl/>
        <w:numPr>
          <w:ilvl w:val="0"/>
          <w:numId w:val="10"/>
        </w:numPr>
        <w:spacing w:before="0" w:after="160" w:line="280" w:lineRule="auto"/>
      </w:pPr>
      <w:r>
        <w:rPr>
          <w:rFonts w:ascii="Calibri" w:hAnsi="Calibri" w:eastAsia="Calibri"/>
        </w:rPr>
        <w:t>1. Executive summary</w:t>
      </w:r>
    </w:p>
    <w:p>
      <w:pPr>
        <w:keepNext w:val="0"/>
        <w:keepLines w:val="0"/>
        <w:widowControl/>
        <w:numPr>
          <w:ilvl w:val="0"/>
          <w:numId w:val="10"/>
        </w:numPr>
        <w:spacing w:before="0" w:after="160" w:line="280" w:lineRule="auto"/>
      </w:pPr>
      <w:r>
        <w:rPr>
          <w:rFonts w:ascii="Calibri" w:hAnsi="Calibri" w:eastAsia="Calibri"/>
        </w:rPr>
        <w:t>2. Scope and product boundary</w:t>
      </w:r>
    </w:p>
    <w:p>
      <w:pPr>
        <w:keepNext w:val="0"/>
        <w:keepLines w:val="0"/>
        <w:widowControl/>
        <w:numPr>
          <w:ilvl w:val="0"/>
          <w:numId w:val="10"/>
        </w:numPr>
        <w:spacing w:before="0" w:after="160" w:line="280" w:lineRule="auto"/>
      </w:pPr>
      <w:r>
        <w:rPr>
          <w:rFonts w:ascii="Calibri" w:hAnsi="Calibri" w:eastAsia="Calibri"/>
        </w:rPr>
        <w:t>3. Architecture and technology baseline</w:t>
      </w:r>
    </w:p>
    <w:p>
      <w:pPr>
        <w:keepNext w:val="0"/>
        <w:keepLines w:val="0"/>
        <w:widowControl/>
        <w:numPr>
          <w:ilvl w:val="0"/>
          <w:numId w:val="10"/>
        </w:numPr>
        <w:spacing w:before="0" w:after="160" w:line="280" w:lineRule="auto"/>
      </w:pPr>
      <w:r>
        <w:rPr>
          <w:rFonts w:ascii="Calibri" w:hAnsi="Calibri" w:eastAsia="Calibri"/>
        </w:rPr>
        <w:t>4. Cross-cutting backend standards</w:t>
      </w:r>
    </w:p>
    <w:p>
      <w:pPr>
        <w:keepNext w:val="0"/>
        <w:keepLines w:val="0"/>
        <w:widowControl/>
        <w:numPr>
          <w:ilvl w:val="0"/>
          <w:numId w:val="10"/>
        </w:numPr>
        <w:spacing w:before="0" w:after="160" w:line="280" w:lineRule="auto"/>
      </w:pPr>
      <w:r>
        <w:rPr>
          <w:rFonts w:ascii="Calibri" w:hAnsi="Calibri" w:eastAsia="Calibri"/>
        </w:rPr>
        <w:t>5. Authentication and account security</w:t>
      </w:r>
    </w:p>
    <w:p>
      <w:pPr>
        <w:keepNext w:val="0"/>
        <w:keepLines w:val="0"/>
        <w:widowControl/>
        <w:numPr>
          <w:ilvl w:val="0"/>
          <w:numId w:val="10"/>
        </w:numPr>
        <w:spacing w:before="0" w:after="160" w:line="280" w:lineRule="auto"/>
      </w:pPr>
      <w:r>
        <w:rPr>
          <w:rFonts w:ascii="Calibri" w:hAnsi="Calibri" w:eastAsia="Calibri"/>
        </w:rPr>
        <w:t>6. Tenancy, organizations and branches</w:t>
      </w:r>
    </w:p>
    <w:p>
      <w:pPr>
        <w:keepNext w:val="0"/>
        <w:keepLines w:val="0"/>
        <w:widowControl/>
        <w:numPr>
          <w:ilvl w:val="0"/>
          <w:numId w:val="10"/>
        </w:numPr>
        <w:spacing w:before="0" w:after="160" w:line="280" w:lineRule="auto"/>
      </w:pPr>
      <w:r>
        <w:rPr>
          <w:rFonts w:ascii="Calibri" w:hAnsi="Calibri" w:eastAsia="Calibri"/>
        </w:rPr>
        <w:t>7. Users, teams and memberships</w:t>
      </w:r>
    </w:p>
    <w:p>
      <w:pPr>
        <w:keepNext w:val="0"/>
        <w:keepLines w:val="0"/>
        <w:widowControl/>
        <w:numPr>
          <w:ilvl w:val="0"/>
          <w:numId w:val="10"/>
        </w:numPr>
        <w:spacing w:before="0" w:after="160" w:line="280" w:lineRule="auto"/>
      </w:pPr>
      <w:r>
        <w:rPr>
          <w:rFonts w:ascii="Calibri" w:hAnsi="Calibri" w:eastAsia="Calibri"/>
        </w:rPr>
        <w:t>8. RBAC and authorization</w:t>
      </w:r>
    </w:p>
    <w:p>
      <w:pPr>
        <w:keepNext w:val="0"/>
        <w:keepLines w:val="0"/>
        <w:widowControl/>
        <w:numPr>
          <w:ilvl w:val="0"/>
          <w:numId w:val="10"/>
        </w:numPr>
        <w:spacing w:before="0" w:after="160" w:line="280" w:lineRule="auto"/>
      </w:pPr>
      <w:r>
        <w:rPr>
          <w:rFonts w:ascii="Calibri" w:hAnsi="Calibri" w:eastAsia="Calibri"/>
        </w:rPr>
        <w:t>9. Administration services</w:t>
      </w:r>
    </w:p>
    <w:p>
      <w:pPr>
        <w:keepNext w:val="0"/>
        <w:keepLines w:val="0"/>
        <w:widowControl/>
        <w:numPr>
          <w:ilvl w:val="0"/>
          <w:numId w:val="10"/>
        </w:numPr>
        <w:spacing w:before="0" w:after="160" w:line="280" w:lineRule="auto"/>
      </w:pPr>
      <w:r>
        <w:rPr>
          <w:rFonts w:ascii="Calibri" w:hAnsi="Calibri" w:eastAsia="Calibri"/>
        </w:rPr>
        <w:t>10. Generic data and CRUD foundation</w:t>
      </w:r>
    </w:p>
    <w:p>
      <w:pPr>
        <w:keepNext w:val="0"/>
        <w:keepLines w:val="0"/>
        <w:widowControl/>
        <w:numPr>
          <w:ilvl w:val="0"/>
          <w:numId w:val="10"/>
        </w:numPr>
        <w:spacing w:before="0" w:after="160" w:line="280" w:lineRule="auto"/>
      </w:pPr>
      <w:r>
        <w:rPr>
          <w:rFonts w:ascii="Calibri" w:hAnsi="Calibri" w:eastAsia="Calibri"/>
        </w:rPr>
        <w:t>11. Files and attachments</w:t>
      </w:r>
    </w:p>
    <w:p>
      <w:pPr>
        <w:keepNext w:val="0"/>
        <w:keepLines w:val="0"/>
        <w:widowControl/>
        <w:numPr>
          <w:ilvl w:val="0"/>
          <w:numId w:val="10"/>
        </w:numPr>
        <w:spacing w:before="0" w:after="160" w:line="280" w:lineRule="auto"/>
      </w:pPr>
      <w:r>
        <w:rPr>
          <w:rFonts w:ascii="Calibri" w:hAnsi="Calibri" w:eastAsia="Calibri"/>
        </w:rPr>
        <w:t>12. Billing and entitlements</w:t>
      </w:r>
    </w:p>
    <w:p>
      <w:pPr>
        <w:keepNext w:val="0"/>
        <w:keepLines w:val="0"/>
        <w:widowControl/>
        <w:numPr>
          <w:ilvl w:val="0"/>
          <w:numId w:val="10"/>
        </w:numPr>
        <w:spacing w:before="0" w:after="160" w:line="280" w:lineRule="auto"/>
      </w:pPr>
      <w:r>
        <w:rPr>
          <w:rFonts w:ascii="Calibri" w:hAnsi="Calibri" w:eastAsia="Calibri"/>
        </w:rPr>
        <w:t>13. Razorpay payments</w:t>
      </w:r>
    </w:p>
    <w:p>
      <w:pPr>
        <w:keepNext w:val="0"/>
        <w:keepLines w:val="0"/>
        <w:widowControl/>
        <w:numPr>
          <w:ilvl w:val="0"/>
          <w:numId w:val="10"/>
        </w:numPr>
        <w:spacing w:before="0" w:after="160" w:line="280" w:lineRule="auto"/>
      </w:pPr>
      <w:r>
        <w:rPr>
          <w:rFonts w:ascii="Calibri" w:hAnsi="Calibri" w:eastAsia="Calibri"/>
        </w:rPr>
        <w:t>14. Reporting and exports</w:t>
      </w:r>
    </w:p>
    <w:p>
      <w:pPr>
        <w:keepNext w:val="0"/>
        <w:keepLines w:val="0"/>
        <w:widowControl/>
        <w:numPr>
          <w:ilvl w:val="0"/>
          <w:numId w:val="10"/>
        </w:numPr>
        <w:spacing w:before="0" w:after="160" w:line="280" w:lineRule="auto"/>
      </w:pPr>
      <w:r>
        <w:rPr>
          <w:rFonts w:ascii="Calibri" w:hAnsi="Calibri" w:eastAsia="Calibri"/>
        </w:rPr>
        <w:t>15. Communication and notifications</w:t>
      </w:r>
    </w:p>
    <w:p>
      <w:r>
        <w:br w:type="page"/>
      </w:r>
    </w:p>
    <w:p>
      <w:pPr>
        <w:keepNext w:val="0"/>
        <w:keepLines w:val="0"/>
        <w:widowControl/>
        <w:numPr>
          <w:ilvl w:val="0"/>
          <w:numId w:val="10"/>
        </w:numPr>
        <w:spacing w:before="0" w:after="160" w:line="280" w:lineRule="auto"/>
      </w:pPr>
      <w:r>
        <w:rPr>
          <w:rFonts w:ascii="Calibri" w:hAnsi="Calibri" w:eastAsia="Calibri"/>
        </w:rPr>
        <w:t>16. Audit and activity history</w:t>
      </w:r>
    </w:p>
    <w:p>
      <w:pPr>
        <w:keepNext w:val="0"/>
        <w:keepLines w:val="0"/>
        <w:widowControl/>
        <w:numPr>
          <w:ilvl w:val="0"/>
          <w:numId w:val="10"/>
        </w:numPr>
        <w:spacing w:before="0" w:after="160" w:line="280" w:lineRule="auto"/>
      </w:pPr>
      <w:r>
        <w:rPr>
          <w:rFonts w:ascii="Calibri" w:hAnsi="Calibri" w:eastAsia="Calibri"/>
        </w:rPr>
        <w:t>17. Settings, feature flags and secrets</w:t>
      </w:r>
    </w:p>
    <w:p>
      <w:pPr>
        <w:keepNext w:val="0"/>
        <w:keepLines w:val="0"/>
        <w:widowControl/>
        <w:numPr>
          <w:ilvl w:val="0"/>
          <w:numId w:val="10"/>
        </w:numPr>
        <w:spacing w:before="0" w:after="160" w:line="280" w:lineRule="auto"/>
      </w:pPr>
      <w:r>
        <w:rPr>
          <w:rFonts w:ascii="Calibri" w:hAnsi="Calibri" w:eastAsia="Calibri"/>
        </w:rPr>
        <w:t>18. API, integration and webhook foundation</w:t>
      </w:r>
    </w:p>
    <w:p>
      <w:pPr>
        <w:keepNext w:val="0"/>
        <w:keepLines w:val="0"/>
        <w:widowControl/>
        <w:numPr>
          <w:ilvl w:val="0"/>
          <w:numId w:val="10"/>
        </w:numPr>
        <w:spacing w:before="0" w:after="160" w:line="280" w:lineRule="auto"/>
      </w:pPr>
      <w:r>
        <w:rPr>
          <w:rFonts w:ascii="Calibri" w:hAnsi="Calibri" w:eastAsia="Calibri"/>
        </w:rPr>
        <w:t>19. Background processing</w:t>
      </w:r>
    </w:p>
    <w:p>
      <w:pPr>
        <w:keepNext w:val="0"/>
        <w:keepLines w:val="0"/>
        <w:widowControl/>
        <w:numPr>
          <w:ilvl w:val="0"/>
          <w:numId w:val="10"/>
        </w:numPr>
        <w:spacing w:before="0" w:after="160" w:line="280" w:lineRule="auto"/>
      </w:pPr>
      <w:r>
        <w:rPr>
          <w:rFonts w:ascii="Calibri" w:hAnsi="Calibri" w:eastAsia="Calibri"/>
        </w:rPr>
        <w:t>20. Security, observability and operations</w:t>
      </w:r>
    </w:p>
    <w:p>
      <w:pPr>
        <w:keepNext w:val="0"/>
        <w:keepLines w:val="0"/>
        <w:widowControl/>
        <w:numPr>
          <w:ilvl w:val="0"/>
          <w:numId w:val="10"/>
        </w:numPr>
        <w:spacing w:before="0" w:after="160" w:line="280" w:lineRule="auto"/>
      </w:pPr>
      <w:r>
        <w:rPr>
          <w:rFonts w:ascii="Calibri" w:hAnsi="Calibri" w:eastAsia="Calibri"/>
        </w:rPr>
        <w:t>21. MongoDB data model and indexes</w:t>
      </w:r>
    </w:p>
    <w:p>
      <w:pPr>
        <w:keepNext w:val="0"/>
        <w:keepLines w:val="0"/>
        <w:widowControl/>
        <w:numPr>
          <w:ilvl w:val="0"/>
          <w:numId w:val="10"/>
        </w:numPr>
        <w:spacing w:before="0" w:after="160" w:line="280" w:lineRule="auto"/>
      </w:pPr>
      <w:r>
        <w:rPr>
          <w:rFonts w:ascii="Calibri" w:hAnsi="Calibri" w:eastAsia="Calibri"/>
        </w:rPr>
        <w:t>22. API groups</w:t>
      </w:r>
    </w:p>
    <w:p>
      <w:pPr>
        <w:keepNext w:val="0"/>
        <w:keepLines w:val="0"/>
        <w:widowControl/>
        <w:numPr>
          <w:ilvl w:val="0"/>
          <w:numId w:val="10"/>
        </w:numPr>
        <w:spacing w:before="0" w:after="160" w:line="280" w:lineRule="auto"/>
      </w:pPr>
      <w:r>
        <w:rPr>
          <w:rFonts w:ascii="Calibri" w:hAnsi="Calibri" w:eastAsia="Calibri"/>
        </w:rPr>
        <w:t>23. Non-functional requirements</w:t>
      </w:r>
    </w:p>
    <w:p>
      <w:pPr>
        <w:keepNext w:val="0"/>
        <w:keepLines w:val="0"/>
        <w:widowControl/>
        <w:numPr>
          <w:ilvl w:val="0"/>
          <w:numId w:val="10"/>
        </w:numPr>
        <w:spacing w:before="0" w:after="160" w:line="280" w:lineRule="auto"/>
      </w:pPr>
      <w:r>
        <w:rPr>
          <w:rFonts w:ascii="Calibri" w:hAnsi="Calibri" w:eastAsia="Calibri"/>
        </w:rPr>
        <w:t>24. Testing and acceptance</w:t>
      </w:r>
    </w:p>
    <w:p>
      <w:pPr>
        <w:keepNext w:val="0"/>
        <w:keepLines w:val="0"/>
        <w:widowControl/>
        <w:numPr>
          <w:ilvl w:val="0"/>
          <w:numId w:val="10"/>
        </w:numPr>
        <w:spacing w:before="0" w:after="160" w:line="280" w:lineRule="auto"/>
      </w:pPr>
      <w:r>
        <w:rPr>
          <w:rFonts w:ascii="Calibri" w:hAnsi="Calibri" w:eastAsia="Calibri"/>
        </w:rPr>
        <w:t>25. Delivery package and definition of done</w:t>
      </w:r>
    </w:p>
    <w:p>
      <w:pPr>
        <w:keepNext w:val="0"/>
        <w:keepLines w:val="0"/>
        <w:widowControl/>
        <w:numPr>
          <w:ilvl w:val="0"/>
          <w:numId w:val="10"/>
        </w:numPr>
        <w:spacing w:before="0" w:after="160" w:line="280" w:lineRule="auto"/>
      </w:pPr>
      <w:r>
        <w:rPr>
          <w:rFonts w:ascii="Calibri" w:hAnsi="Calibri" w:eastAsia="Calibri"/>
        </w:rPr>
        <w:t>Appendix A. Project configuration contract</w:t>
      </w:r>
    </w:p>
    <w:p>
      <w:r>
        <w:br w:type="page"/>
      </w:r>
    </w:p>
    <w:p>
      <w:pPr>
        <w:pStyle w:val="Heading1"/>
        <w:keepNext/>
      </w:pPr>
      <w:r>
        <w:t>1. Executive summary</w:t>
      </w:r>
    </w:p>
    <w:p>
      <w:pPr>
        <w:keepNext w:val="0"/>
        <w:keepLines w:val="0"/>
        <w:widowControl/>
        <w:spacing w:before="0" w:after="120" w:line="264" w:lineRule="auto"/>
        <w:jc w:val="left"/>
      </w:pPr>
      <w:r>
        <w:rPr>
          <w:rFonts w:ascii="Calibri" w:hAnsi="Calibri" w:eastAsia="Calibri"/>
          <w:b w:val="0"/>
          <w:i w:val="0"/>
          <w:color w:val="172033"/>
          <w:sz w:val="22"/>
        </w:rPr>
        <w:t>The SaaS Core is a reusable backend product that is cloned into every client application. It must be production-capable before any client-specific entity or business rule is added. New projects change configuration values, enable prepared adapters and add domain modules; they do not rebuild authentication, tenancy, permissions, billing, payments, reporting, communication, audit or operational infrastructure.</w:t>
      </w:r>
    </w:p>
    <w:tbl>
      <w:tblPr>
        <w:tblW w:type="dxa" w:w="9360"/>
        <w:jc w:val="left"/>
        <w:tblLayout w:type="fixed"/>
        <w:tblLook w:firstColumn="1" w:firstRow="1" w:lastColumn="0" w:lastRow="0" w:noHBand="0" w:noVBand="1" w:val="04A0"/>
        <w:tblInd w:type="dxa" w:w="120"/>
      </w:tblPr>
      <w:tblGrid>
        <w:gridCol w:w="9360"/>
      </w:tblGrid>
      <w:tr>
        <w:trPr/>
        <w:tc>
          <w:tcPr>
            <w:tcW w:type="dxa" w:w="9360"/>
            <w:shd w:fill="EAF4F8"/>
            <w:tcBorders>
              <w:top w:val="single" w:sz="8" w:color="00A6C8"/>
              <w:left w:val="single" w:sz="8" w:color="00A6C8"/>
              <w:bottom w:val="single" w:sz="8" w:color="00A6C8"/>
              <w:right w:val="single" w:sz="8" w:color="00A6C8"/>
              <w:insideH w:val="single" w:sz="8" w:color="00A6C8"/>
              <w:insideV w:val="single" w:sz="8" w:color="00A6C8"/>
            </w:tcBorders>
            <w:tcMar>
              <w:top w:w="100" w:type="dxa"/>
              <w:bottom w:w="100" w:type="dxa"/>
              <w:start w:w="120" w:type="dxa"/>
              <w:end w:w="120" w:type="dxa"/>
            </w:tcMar>
          </w:tcPr>
          <w:p>
            <w:pPr>
              <w:keepNext w:val="0"/>
              <w:keepLines w:val="0"/>
              <w:widowControl/>
              <w:spacing w:before="40" w:after="40" w:line="264" w:lineRule="auto"/>
            </w:pPr>
            <w:r>
              <w:rPr>
                <w:rFonts w:ascii="Calibri" w:hAnsi="Calibri" w:eastAsia="Calibri"/>
                <w:b/>
                <w:color w:val="0B2545"/>
              </w:rPr>
              <w:t xml:space="preserve">Core rule: </w:t>
            </w:r>
            <w:r>
              <w:rPr>
                <w:rFonts w:ascii="Calibri" w:hAnsi="Calibri" w:eastAsia="Calibri"/>
                <w:color w:val="172033"/>
              </w:rPr>
              <w:t>If the capability is required by almost every SaaS product, implement it once in the protected core. If it varies by client, expose a typed configuration contract. If it is unique business logic, place it in a separate project module.</w:t>
            </w:r>
          </w:p>
        </w:tc>
      </w:tr>
    </w:tbl>
    <w:p>
      <w:pPr>
        <w:keepNext w:val="0"/>
        <w:keepLines w:val="0"/>
        <w:widowControl/>
        <w:spacing w:before="0" w:after="40" w:line="264" w:lineRule="auto"/>
        <w:jc w:val="left"/>
      </w:pPr>
      <w:r>
        <w:rPr>
          <w:rFonts w:ascii="Calibri" w:hAnsi="Calibri" w:eastAsia="Calibri"/>
          <w:b w:val="0"/>
          <w:i w:val="0"/>
          <w:color w:val="172033"/>
          <w:sz w:val="22"/>
        </w:rPr>
      </w:r>
    </w:p>
    <w:p>
      <w:pPr>
        <w:pStyle w:val="Heading2"/>
        <w:keepNext/>
      </w:pPr>
      <w:r>
        <w:t>Core modules included in every project</w:t>
      </w:r>
    </w:p>
    <w:tbl>
      <w:tblPr>
        <w:tblStyle w:val="TableGrid"/>
        <w:tblW w:type="dxa" w:w="9360"/>
        <w:jc w:val="left"/>
        <w:tblLayout w:type="fixed"/>
        <w:tblLook w:firstColumn="1" w:firstRow="1" w:lastColumn="0" w:lastRow="0" w:noHBand="0" w:noVBand="1" w:val="04A0"/>
        <w:tblInd w:type="dxa" w:w="120"/>
      </w:tblPr>
      <w:tblGrid>
        <w:gridCol w:w="2000"/>
        <w:gridCol w:w="5060"/>
        <w:gridCol w:w="2300"/>
      </w:tblGrid>
      <w:tr>
        <w:trPr>
          <w:tblHeader w:val="true"/>
        </w:trPr>
        <w:tc>
          <w:tcPr>
            <w:tcW w:type="dxa" w:w="2000"/>
            <w:shd w:fill="0B2545"/>
            <w:tcBorders>
              <w:top w:val="single" w:sz="6" w:color="CAD6E2"/>
              <w:left w:val="single" w:sz="6" w:color="CAD6E2"/>
              <w:bottom w:val="single" w:sz="6" w:color="CAD6E2"/>
              <w:right w:val="single" w:sz="6" w:color="CAD6E2"/>
              <w:insideH w:val="single" w:sz="6" w:color="CAD6E2"/>
              <w:insideV w:val="single" w:sz="6" w:color="CAD6E2"/>
            </w:tcBorders>
            <w:vAlign w:val="center"/>
            <w:tcMar>
              <w:top w:w="60" w:type="dxa"/>
              <w:bottom w:w="60" w:type="dxa"/>
              <w:start w:w="120" w:type="dxa"/>
              <w:end w:w="120" w:type="dxa"/>
            </w:tcMar>
          </w:tcPr>
          <w:p>
            <w:pPr>
              <w:keepNext w:val="0"/>
              <w:keepLines w:val="0"/>
              <w:widowControl/>
              <w:spacing w:before="20" w:after="20" w:line="240" w:lineRule="auto"/>
            </w:pPr>
            <w:r>
              <w:rPr>
                <w:rFonts w:ascii="Calibri" w:hAnsi="Calibri" w:eastAsia="Calibri"/>
                <w:b/>
                <w:color w:val="FFFFFF"/>
                <w:sz w:val="18"/>
              </w:rPr>
              <w:t>Module</w:t>
            </w:r>
          </w:p>
        </w:tc>
        <w:tc>
          <w:tcPr>
            <w:tcW w:type="dxa" w:w="5060"/>
            <w:shd w:fill="0B2545"/>
            <w:tcBorders>
              <w:top w:val="single" w:sz="6" w:color="CAD6E2"/>
              <w:left w:val="single" w:sz="6" w:color="CAD6E2"/>
              <w:bottom w:val="single" w:sz="6" w:color="CAD6E2"/>
              <w:right w:val="single" w:sz="6" w:color="CAD6E2"/>
              <w:insideH w:val="single" w:sz="6" w:color="CAD6E2"/>
              <w:insideV w:val="single" w:sz="6" w:color="CAD6E2"/>
            </w:tcBorders>
            <w:vAlign w:val="center"/>
            <w:tcMar>
              <w:top w:w="60" w:type="dxa"/>
              <w:bottom w:w="60" w:type="dxa"/>
              <w:start w:w="120" w:type="dxa"/>
              <w:end w:w="120" w:type="dxa"/>
            </w:tcMar>
          </w:tcPr>
          <w:p>
            <w:pPr>
              <w:keepNext w:val="0"/>
              <w:keepLines w:val="0"/>
              <w:widowControl/>
              <w:spacing w:before="20" w:after="20" w:line="240" w:lineRule="auto"/>
            </w:pPr>
            <w:r>
              <w:rPr>
                <w:rFonts w:ascii="Calibri" w:hAnsi="Calibri" w:eastAsia="Calibri"/>
                <w:b/>
                <w:color w:val="FFFFFF"/>
                <w:sz w:val="18"/>
              </w:rPr>
              <w:t>Always-prebuilt capability</w:t>
            </w:r>
          </w:p>
        </w:tc>
        <w:tc>
          <w:tcPr>
            <w:tcW w:type="dxa" w:w="2300"/>
            <w:shd w:fill="0B2545"/>
            <w:tcBorders>
              <w:top w:val="single" w:sz="6" w:color="CAD6E2"/>
              <w:left w:val="single" w:sz="6" w:color="CAD6E2"/>
              <w:bottom w:val="single" w:sz="6" w:color="CAD6E2"/>
              <w:right w:val="single" w:sz="6" w:color="CAD6E2"/>
              <w:insideH w:val="single" w:sz="6" w:color="CAD6E2"/>
              <w:insideV w:val="single" w:sz="6" w:color="CAD6E2"/>
            </w:tcBorders>
            <w:vAlign w:val="center"/>
            <w:tcMar>
              <w:top w:w="60" w:type="dxa"/>
              <w:bottom w:w="60" w:type="dxa"/>
              <w:start w:w="120" w:type="dxa"/>
              <w:end w:w="120" w:type="dxa"/>
            </w:tcMar>
          </w:tcPr>
          <w:p>
            <w:pPr>
              <w:keepNext w:val="0"/>
              <w:keepLines w:val="0"/>
              <w:widowControl/>
              <w:spacing w:before="20" w:after="20" w:line="240" w:lineRule="auto"/>
            </w:pPr>
            <w:r>
              <w:rPr>
                <w:rFonts w:ascii="Calibri" w:hAnsi="Calibri" w:eastAsia="Calibri"/>
                <w:b/>
                <w:color w:val="FFFFFF"/>
                <w:sz w:val="18"/>
              </w:rPr>
              <w:t>Per-project input</w:t>
            </w:r>
          </w:p>
        </w:tc>
      </w:tr>
      <w:tr>
        <w:trPr/>
        <w:tc>
          <w:tcPr>
            <w:tcW w:type="dxa" w:w="2000"/>
            <w:tcBorders>
              <w:top w:val="single" w:sz="6" w:color="CAD6E2"/>
              <w:left w:val="single" w:sz="6" w:color="CAD6E2"/>
              <w:bottom w:val="single" w:sz="6" w:color="CAD6E2"/>
              <w:right w:val="single" w:sz="6" w:color="CAD6E2"/>
              <w:insideH w:val="single" w:sz="6" w:color="CAD6E2"/>
              <w:insideV w:val="single" w:sz="6" w:color="CAD6E2"/>
            </w:tcBorders>
            <w:vAlign w:val="center"/>
            <w:tcMar>
              <w:top w:w="60" w:type="dxa"/>
              <w:bottom w:w="60" w:type="dxa"/>
              <w:start w:w="120" w:type="dxa"/>
              <w:end w:w="120" w:type="dxa"/>
            </w:tcMar>
          </w:tcPr>
          <w:p>
            <w:pPr>
              <w:keepNext w:val="0"/>
              <w:keepLines w:val="0"/>
              <w:widowControl/>
              <w:spacing w:before="20" w:after="20" w:line="259" w:lineRule="auto"/>
            </w:pPr>
            <w:r>
              <w:rPr>
                <w:rFonts w:ascii="Calibri" w:hAnsi="Calibri" w:eastAsia="Calibri"/>
                <w:b/>
                <w:sz w:val="16"/>
              </w:rPr>
              <w:t>Authentication</w:t>
            </w:r>
          </w:p>
        </w:tc>
        <w:tc>
          <w:tcPr>
            <w:tcW w:type="dxa" w:w="5060"/>
            <w:tcBorders>
              <w:top w:val="single" w:sz="6" w:color="CAD6E2"/>
              <w:left w:val="single" w:sz="6" w:color="CAD6E2"/>
              <w:bottom w:val="single" w:sz="6" w:color="CAD6E2"/>
              <w:right w:val="single" w:sz="6" w:color="CAD6E2"/>
              <w:insideH w:val="single" w:sz="6" w:color="CAD6E2"/>
              <w:insideV w:val="single" w:sz="6" w:color="CAD6E2"/>
            </w:tcBorders>
            <w:vAlign w:val="center"/>
            <w:tcMar>
              <w:top w:w="60" w:type="dxa"/>
              <w:bottom w:w="60" w:type="dxa"/>
              <w:start w:w="120" w:type="dxa"/>
              <w:end w:w="120" w:type="dxa"/>
            </w:tcMar>
          </w:tcPr>
          <w:p>
            <w:pPr>
              <w:keepNext w:val="0"/>
              <w:keepLines w:val="0"/>
              <w:widowControl/>
              <w:spacing w:before="20" w:after="20" w:line="259" w:lineRule="auto"/>
            </w:pPr>
            <w:r>
              <w:rPr>
                <w:rFonts w:ascii="Calibri" w:hAnsi="Calibri" w:eastAsia="Calibri"/>
                <w:b w:val="0"/>
                <w:sz w:val="16"/>
              </w:rPr>
              <w:t>Accounts, login, MFA, recovery, sessions and social/OIDC capability</w:t>
            </w:r>
          </w:p>
        </w:tc>
        <w:tc>
          <w:tcPr>
            <w:tcW w:type="dxa" w:w="2300"/>
            <w:tcBorders>
              <w:top w:val="single" w:sz="6" w:color="CAD6E2"/>
              <w:left w:val="single" w:sz="6" w:color="CAD6E2"/>
              <w:bottom w:val="single" w:sz="6" w:color="CAD6E2"/>
              <w:right w:val="single" w:sz="6" w:color="CAD6E2"/>
              <w:insideH w:val="single" w:sz="6" w:color="CAD6E2"/>
              <w:insideV w:val="single" w:sz="6" w:color="CAD6E2"/>
            </w:tcBorders>
            <w:vAlign w:val="center"/>
            <w:tcMar>
              <w:top w:w="60" w:type="dxa"/>
              <w:bottom w:w="60" w:type="dxa"/>
              <w:start w:w="120" w:type="dxa"/>
              <w:end w:w="120" w:type="dxa"/>
            </w:tcMar>
          </w:tcPr>
          <w:p>
            <w:pPr>
              <w:keepNext w:val="0"/>
              <w:keepLines w:val="0"/>
              <w:widowControl/>
              <w:spacing w:before="20" w:after="20" w:line="259" w:lineRule="auto"/>
            </w:pPr>
            <w:r>
              <w:rPr>
                <w:rFonts w:ascii="Calibri" w:hAnsi="Calibri" w:eastAsia="Calibri"/>
                <w:b w:val="0"/>
                <w:sz w:val="16"/>
              </w:rPr>
              <w:t>Configuration only</w:t>
            </w:r>
          </w:p>
        </w:tc>
      </w:tr>
      <w:tr>
        <w:trPr/>
        <w:tc>
          <w:tcPr>
            <w:tcW w:type="dxa" w:w="20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60" w:type="dxa"/>
              <w:bottom w:w="60" w:type="dxa"/>
              <w:start w:w="120" w:type="dxa"/>
              <w:end w:w="120" w:type="dxa"/>
            </w:tcMar>
          </w:tcPr>
          <w:p>
            <w:pPr>
              <w:keepNext w:val="0"/>
              <w:keepLines w:val="0"/>
              <w:widowControl/>
              <w:spacing w:before="20" w:after="20" w:line="259" w:lineRule="auto"/>
            </w:pPr>
            <w:r>
              <w:rPr>
                <w:rFonts w:ascii="Calibri" w:hAnsi="Calibri" w:eastAsia="Calibri"/>
                <w:b/>
                <w:sz w:val="16"/>
              </w:rPr>
              <w:t>Tenancy</w:t>
            </w:r>
          </w:p>
        </w:tc>
        <w:tc>
          <w:tcPr>
            <w:tcW w:type="dxa" w:w="506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60" w:type="dxa"/>
              <w:bottom w:w="60" w:type="dxa"/>
              <w:start w:w="120" w:type="dxa"/>
              <w:end w:w="120" w:type="dxa"/>
            </w:tcMar>
          </w:tcPr>
          <w:p>
            <w:pPr>
              <w:keepNext w:val="0"/>
              <w:keepLines w:val="0"/>
              <w:widowControl/>
              <w:spacing w:before="20" w:after="20" w:line="259" w:lineRule="auto"/>
            </w:pPr>
            <w:r>
              <w:rPr>
                <w:rFonts w:ascii="Calibri" w:hAnsi="Calibri" w:eastAsia="Calibri"/>
                <w:b w:val="0"/>
                <w:sz w:val="16"/>
              </w:rPr>
              <w:t>Tenant, organization, branch and membership isolation</w:t>
            </w:r>
          </w:p>
        </w:tc>
        <w:tc>
          <w:tcPr>
            <w:tcW w:type="dxa" w:w="23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60" w:type="dxa"/>
              <w:bottom w:w="60" w:type="dxa"/>
              <w:start w:w="120" w:type="dxa"/>
              <w:end w:w="120" w:type="dxa"/>
            </w:tcMar>
          </w:tcPr>
          <w:p>
            <w:pPr>
              <w:keepNext w:val="0"/>
              <w:keepLines w:val="0"/>
              <w:widowControl/>
              <w:spacing w:before="20" w:after="20" w:line="259" w:lineRule="auto"/>
            </w:pPr>
            <w:r>
              <w:rPr>
                <w:rFonts w:ascii="Calibri" w:hAnsi="Calibri" w:eastAsia="Calibri"/>
                <w:b w:val="0"/>
                <w:sz w:val="16"/>
              </w:rPr>
              <w:t>Hierarchy values</w:t>
            </w:r>
          </w:p>
        </w:tc>
      </w:tr>
      <w:tr>
        <w:trPr/>
        <w:tc>
          <w:tcPr>
            <w:tcW w:type="dxa" w:w="2000"/>
            <w:tcBorders>
              <w:top w:val="single" w:sz="6" w:color="CAD6E2"/>
              <w:left w:val="single" w:sz="6" w:color="CAD6E2"/>
              <w:bottom w:val="single" w:sz="6" w:color="CAD6E2"/>
              <w:right w:val="single" w:sz="6" w:color="CAD6E2"/>
              <w:insideH w:val="single" w:sz="6" w:color="CAD6E2"/>
              <w:insideV w:val="single" w:sz="6" w:color="CAD6E2"/>
            </w:tcBorders>
            <w:vAlign w:val="center"/>
            <w:tcMar>
              <w:top w:w="60" w:type="dxa"/>
              <w:bottom w:w="60" w:type="dxa"/>
              <w:start w:w="120" w:type="dxa"/>
              <w:end w:w="120" w:type="dxa"/>
            </w:tcMar>
          </w:tcPr>
          <w:p>
            <w:pPr>
              <w:keepNext w:val="0"/>
              <w:keepLines w:val="0"/>
              <w:widowControl/>
              <w:spacing w:before="20" w:after="20" w:line="259" w:lineRule="auto"/>
            </w:pPr>
            <w:r>
              <w:rPr>
                <w:rFonts w:ascii="Calibri" w:hAnsi="Calibri" w:eastAsia="Calibri"/>
                <w:b/>
                <w:sz w:val="16"/>
              </w:rPr>
              <w:t>Users and teams</w:t>
            </w:r>
          </w:p>
        </w:tc>
        <w:tc>
          <w:tcPr>
            <w:tcW w:type="dxa" w:w="5060"/>
            <w:tcBorders>
              <w:top w:val="single" w:sz="6" w:color="CAD6E2"/>
              <w:left w:val="single" w:sz="6" w:color="CAD6E2"/>
              <w:bottom w:val="single" w:sz="6" w:color="CAD6E2"/>
              <w:right w:val="single" w:sz="6" w:color="CAD6E2"/>
              <w:insideH w:val="single" w:sz="6" w:color="CAD6E2"/>
              <w:insideV w:val="single" w:sz="6" w:color="CAD6E2"/>
            </w:tcBorders>
            <w:vAlign w:val="center"/>
            <w:tcMar>
              <w:top w:w="60" w:type="dxa"/>
              <w:bottom w:w="60" w:type="dxa"/>
              <w:start w:w="120" w:type="dxa"/>
              <w:end w:w="120" w:type="dxa"/>
            </w:tcMar>
          </w:tcPr>
          <w:p>
            <w:pPr>
              <w:keepNext w:val="0"/>
              <w:keepLines w:val="0"/>
              <w:widowControl/>
              <w:spacing w:before="20" w:after="20" w:line="259" w:lineRule="auto"/>
            </w:pPr>
            <w:r>
              <w:rPr>
                <w:rFonts w:ascii="Calibri" w:hAnsi="Calibri" w:eastAsia="Calibri"/>
                <w:b w:val="0"/>
                <w:sz w:val="16"/>
              </w:rPr>
              <w:t>Invites, lifecycle, teams and activity</w:t>
            </w:r>
          </w:p>
        </w:tc>
        <w:tc>
          <w:tcPr>
            <w:tcW w:type="dxa" w:w="2300"/>
            <w:tcBorders>
              <w:top w:val="single" w:sz="6" w:color="CAD6E2"/>
              <w:left w:val="single" w:sz="6" w:color="CAD6E2"/>
              <w:bottom w:val="single" w:sz="6" w:color="CAD6E2"/>
              <w:right w:val="single" w:sz="6" w:color="CAD6E2"/>
              <w:insideH w:val="single" w:sz="6" w:color="CAD6E2"/>
              <w:insideV w:val="single" w:sz="6" w:color="CAD6E2"/>
            </w:tcBorders>
            <w:vAlign w:val="center"/>
            <w:tcMar>
              <w:top w:w="60" w:type="dxa"/>
              <w:bottom w:w="60" w:type="dxa"/>
              <w:start w:w="120" w:type="dxa"/>
              <w:end w:w="120" w:type="dxa"/>
            </w:tcMar>
          </w:tcPr>
          <w:p>
            <w:pPr>
              <w:keepNext w:val="0"/>
              <w:keepLines w:val="0"/>
              <w:widowControl/>
              <w:spacing w:before="20" w:after="20" w:line="259" w:lineRule="auto"/>
            </w:pPr>
            <w:r>
              <w:rPr>
                <w:rFonts w:ascii="Calibri" w:hAnsi="Calibri" w:eastAsia="Calibri"/>
                <w:b w:val="0"/>
                <w:sz w:val="16"/>
              </w:rPr>
              <w:t>Limits and policies</w:t>
            </w:r>
          </w:p>
        </w:tc>
      </w:tr>
      <w:tr>
        <w:trPr/>
        <w:tc>
          <w:tcPr>
            <w:tcW w:type="dxa" w:w="20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60" w:type="dxa"/>
              <w:bottom w:w="60" w:type="dxa"/>
              <w:start w:w="120" w:type="dxa"/>
              <w:end w:w="120" w:type="dxa"/>
            </w:tcMar>
          </w:tcPr>
          <w:p>
            <w:pPr>
              <w:keepNext w:val="0"/>
              <w:keepLines w:val="0"/>
              <w:widowControl/>
              <w:spacing w:before="20" w:after="20" w:line="259" w:lineRule="auto"/>
            </w:pPr>
            <w:r>
              <w:rPr>
                <w:rFonts w:ascii="Calibri" w:hAnsi="Calibri" w:eastAsia="Calibri"/>
                <w:b/>
                <w:sz w:val="16"/>
              </w:rPr>
              <w:t>RBAC</w:t>
            </w:r>
          </w:p>
        </w:tc>
        <w:tc>
          <w:tcPr>
            <w:tcW w:type="dxa" w:w="506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60" w:type="dxa"/>
              <w:bottom w:w="60" w:type="dxa"/>
              <w:start w:w="120" w:type="dxa"/>
              <w:end w:w="120" w:type="dxa"/>
            </w:tcMar>
          </w:tcPr>
          <w:p>
            <w:pPr>
              <w:keepNext w:val="0"/>
              <w:keepLines w:val="0"/>
              <w:widowControl/>
              <w:spacing w:before="20" w:after="20" w:line="259" w:lineRule="auto"/>
            </w:pPr>
            <w:r>
              <w:rPr>
                <w:rFonts w:ascii="Calibri" w:hAnsi="Calibri" w:eastAsia="Calibri"/>
                <w:b w:val="0"/>
                <w:sz w:val="16"/>
              </w:rPr>
              <w:t>Roles, permissions, ownership and scoped access</w:t>
            </w:r>
          </w:p>
        </w:tc>
        <w:tc>
          <w:tcPr>
            <w:tcW w:type="dxa" w:w="23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60" w:type="dxa"/>
              <w:bottom w:w="60" w:type="dxa"/>
              <w:start w:w="120" w:type="dxa"/>
              <w:end w:w="120" w:type="dxa"/>
            </w:tcMar>
          </w:tcPr>
          <w:p>
            <w:pPr>
              <w:keepNext w:val="0"/>
              <w:keepLines w:val="0"/>
              <w:widowControl/>
              <w:spacing w:before="20" w:after="20" w:line="259" w:lineRule="auto"/>
            </w:pPr>
            <w:r>
              <w:rPr>
                <w:rFonts w:ascii="Calibri" w:hAnsi="Calibri" w:eastAsia="Calibri"/>
                <w:b w:val="0"/>
                <w:sz w:val="16"/>
              </w:rPr>
              <w:t>Role mappings</w:t>
            </w:r>
          </w:p>
        </w:tc>
      </w:tr>
      <w:tr>
        <w:trPr/>
        <w:tc>
          <w:tcPr>
            <w:tcW w:type="dxa" w:w="2000"/>
            <w:tcBorders>
              <w:top w:val="single" w:sz="6" w:color="CAD6E2"/>
              <w:left w:val="single" w:sz="6" w:color="CAD6E2"/>
              <w:bottom w:val="single" w:sz="6" w:color="CAD6E2"/>
              <w:right w:val="single" w:sz="6" w:color="CAD6E2"/>
              <w:insideH w:val="single" w:sz="6" w:color="CAD6E2"/>
              <w:insideV w:val="single" w:sz="6" w:color="CAD6E2"/>
            </w:tcBorders>
            <w:vAlign w:val="center"/>
            <w:tcMar>
              <w:top w:w="60" w:type="dxa"/>
              <w:bottom w:w="60" w:type="dxa"/>
              <w:start w:w="120" w:type="dxa"/>
              <w:end w:w="120" w:type="dxa"/>
            </w:tcMar>
          </w:tcPr>
          <w:p>
            <w:pPr>
              <w:keepNext w:val="0"/>
              <w:keepLines w:val="0"/>
              <w:widowControl/>
              <w:spacing w:before="20" w:after="20" w:line="259" w:lineRule="auto"/>
            </w:pPr>
            <w:r>
              <w:rPr>
                <w:rFonts w:ascii="Calibri" w:hAnsi="Calibri" w:eastAsia="Calibri"/>
                <w:b/>
                <w:sz w:val="16"/>
              </w:rPr>
              <w:t>Administration</w:t>
            </w:r>
          </w:p>
        </w:tc>
        <w:tc>
          <w:tcPr>
            <w:tcW w:type="dxa" w:w="5060"/>
            <w:tcBorders>
              <w:top w:val="single" w:sz="6" w:color="CAD6E2"/>
              <w:left w:val="single" w:sz="6" w:color="CAD6E2"/>
              <w:bottom w:val="single" w:sz="6" w:color="CAD6E2"/>
              <w:right w:val="single" w:sz="6" w:color="CAD6E2"/>
              <w:insideH w:val="single" w:sz="6" w:color="CAD6E2"/>
              <w:insideV w:val="single" w:sz="6" w:color="CAD6E2"/>
            </w:tcBorders>
            <w:vAlign w:val="center"/>
            <w:tcMar>
              <w:top w:w="60" w:type="dxa"/>
              <w:bottom w:w="60" w:type="dxa"/>
              <w:start w:w="120" w:type="dxa"/>
              <w:end w:w="120" w:type="dxa"/>
            </w:tcMar>
          </w:tcPr>
          <w:p>
            <w:pPr>
              <w:keepNext w:val="0"/>
              <w:keepLines w:val="0"/>
              <w:widowControl/>
              <w:spacing w:before="20" w:after="20" w:line="259" w:lineRule="auto"/>
            </w:pPr>
            <w:r>
              <w:rPr>
                <w:rFonts w:ascii="Calibri" w:hAnsi="Calibri" w:eastAsia="Calibri"/>
                <w:b w:val="0"/>
                <w:sz w:val="16"/>
              </w:rPr>
              <w:t>Platform and tenant administration APIs</w:t>
            </w:r>
          </w:p>
        </w:tc>
        <w:tc>
          <w:tcPr>
            <w:tcW w:type="dxa" w:w="2300"/>
            <w:tcBorders>
              <w:top w:val="single" w:sz="6" w:color="CAD6E2"/>
              <w:left w:val="single" w:sz="6" w:color="CAD6E2"/>
              <w:bottom w:val="single" w:sz="6" w:color="CAD6E2"/>
              <w:right w:val="single" w:sz="6" w:color="CAD6E2"/>
              <w:insideH w:val="single" w:sz="6" w:color="CAD6E2"/>
              <w:insideV w:val="single" w:sz="6" w:color="CAD6E2"/>
            </w:tcBorders>
            <w:vAlign w:val="center"/>
            <w:tcMar>
              <w:top w:w="60" w:type="dxa"/>
              <w:bottom w:w="60" w:type="dxa"/>
              <w:start w:w="120" w:type="dxa"/>
              <w:end w:w="120" w:type="dxa"/>
            </w:tcMar>
          </w:tcPr>
          <w:p>
            <w:pPr>
              <w:keepNext w:val="0"/>
              <w:keepLines w:val="0"/>
              <w:widowControl/>
              <w:spacing w:before="20" w:after="20" w:line="259" w:lineRule="auto"/>
            </w:pPr>
            <w:r>
              <w:rPr>
                <w:rFonts w:ascii="Calibri" w:hAnsi="Calibri" w:eastAsia="Calibri"/>
                <w:b w:val="0"/>
                <w:sz w:val="16"/>
              </w:rPr>
              <w:t>Visibility and limits</w:t>
            </w:r>
          </w:p>
        </w:tc>
      </w:tr>
      <w:tr>
        <w:trPr/>
        <w:tc>
          <w:tcPr>
            <w:tcW w:type="dxa" w:w="20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60" w:type="dxa"/>
              <w:bottom w:w="60" w:type="dxa"/>
              <w:start w:w="120" w:type="dxa"/>
              <w:end w:w="120" w:type="dxa"/>
            </w:tcMar>
          </w:tcPr>
          <w:p>
            <w:pPr>
              <w:keepNext w:val="0"/>
              <w:keepLines w:val="0"/>
              <w:widowControl/>
              <w:spacing w:before="20" w:after="20" w:line="259" w:lineRule="auto"/>
            </w:pPr>
            <w:r>
              <w:rPr>
                <w:rFonts w:ascii="Calibri" w:hAnsi="Calibri" w:eastAsia="Calibri"/>
                <w:b/>
                <w:sz w:val="16"/>
              </w:rPr>
              <w:t>Generic CRUD</w:t>
            </w:r>
          </w:p>
        </w:tc>
        <w:tc>
          <w:tcPr>
            <w:tcW w:type="dxa" w:w="506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60" w:type="dxa"/>
              <w:bottom w:w="60" w:type="dxa"/>
              <w:start w:w="120" w:type="dxa"/>
              <w:end w:w="120" w:type="dxa"/>
            </w:tcMar>
          </w:tcPr>
          <w:p>
            <w:pPr>
              <w:keepNext w:val="0"/>
              <w:keepLines w:val="0"/>
              <w:widowControl/>
              <w:spacing w:before="20" w:after="20" w:line="259" w:lineRule="auto"/>
            </w:pPr>
            <w:r>
              <w:rPr>
                <w:rFonts w:ascii="Calibri" w:hAnsi="Calibri" w:eastAsia="Calibri"/>
                <w:b w:val="0"/>
                <w:sz w:val="16"/>
              </w:rPr>
              <w:t>Reusable entity, validation, filtering, import/export and custom-field patterns</w:t>
            </w:r>
          </w:p>
        </w:tc>
        <w:tc>
          <w:tcPr>
            <w:tcW w:type="dxa" w:w="23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60" w:type="dxa"/>
              <w:bottom w:w="60" w:type="dxa"/>
              <w:start w:w="120" w:type="dxa"/>
              <w:end w:w="120" w:type="dxa"/>
            </w:tcMar>
          </w:tcPr>
          <w:p>
            <w:pPr>
              <w:keepNext w:val="0"/>
              <w:keepLines w:val="0"/>
              <w:widowControl/>
              <w:spacing w:before="20" w:after="20" w:line="259" w:lineRule="auto"/>
            </w:pPr>
            <w:r>
              <w:rPr>
                <w:rFonts w:ascii="Calibri" w:hAnsi="Calibri" w:eastAsia="Calibri"/>
                <w:b w:val="0"/>
                <w:sz w:val="16"/>
              </w:rPr>
              <w:t>Entity definitions</w:t>
            </w:r>
          </w:p>
        </w:tc>
      </w:tr>
      <w:tr>
        <w:trPr/>
        <w:tc>
          <w:tcPr>
            <w:tcW w:type="dxa" w:w="2000"/>
            <w:tcBorders>
              <w:top w:val="single" w:sz="6" w:color="CAD6E2"/>
              <w:left w:val="single" w:sz="6" w:color="CAD6E2"/>
              <w:bottom w:val="single" w:sz="6" w:color="CAD6E2"/>
              <w:right w:val="single" w:sz="6" w:color="CAD6E2"/>
              <w:insideH w:val="single" w:sz="6" w:color="CAD6E2"/>
              <w:insideV w:val="single" w:sz="6" w:color="CAD6E2"/>
            </w:tcBorders>
            <w:vAlign w:val="center"/>
            <w:tcMar>
              <w:top w:w="60" w:type="dxa"/>
              <w:bottom w:w="60" w:type="dxa"/>
              <w:start w:w="120" w:type="dxa"/>
              <w:end w:w="120" w:type="dxa"/>
            </w:tcMar>
          </w:tcPr>
          <w:p>
            <w:pPr>
              <w:keepNext w:val="0"/>
              <w:keepLines w:val="0"/>
              <w:widowControl/>
              <w:spacing w:before="20" w:after="20" w:line="259" w:lineRule="auto"/>
            </w:pPr>
            <w:r>
              <w:rPr>
                <w:rFonts w:ascii="Calibri" w:hAnsi="Calibri" w:eastAsia="Calibri"/>
                <w:b/>
                <w:sz w:val="16"/>
              </w:rPr>
              <w:t>Files</w:t>
            </w:r>
          </w:p>
        </w:tc>
        <w:tc>
          <w:tcPr>
            <w:tcW w:type="dxa" w:w="5060"/>
            <w:tcBorders>
              <w:top w:val="single" w:sz="6" w:color="CAD6E2"/>
              <w:left w:val="single" w:sz="6" w:color="CAD6E2"/>
              <w:bottom w:val="single" w:sz="6" w:color="CAD6E2"/>
              <w:right w:val="single" w:sz="6" w:color="CAD6E2"/>
              <w:insideH w:val="single" w:sz="6" w:color="CAD6E2"/>
              <w:insideV w:val="single" w:sz="6" w:color="CAD6E2"/>
            </w:tcBorders>
            <w:vAlign w:val="center"/>
            <w:tcMar>
              <w:top w:w="60" w:type="dxa"/>
              <w:bottom w:w="60" w:type="dxa"/>
              <w:start w:w="120" w:type="dxa"/>
              <w:end w:w="120" w:type="dxa"/>
            </w:tcMar>
          </w:tcPr>
          <w:p>
            <w:pPr>
              <w:keepNext w:val="0"/>
              <w:keepLines w:val="0"/>
              <w:widowControl/>
              <w:spacing w:before="20" w:after="20" w:line="259" w:lineRule="auto"/>
            </w:pPr>
            <w:r>
              <w:rPr>
                <w:rFonts w:ascii="Calibri" w:hAnsi="Calibri" w:eastAsia="Calibri"/>
                <w:b w:val="0"/>
                <w:sz w:val="16"/>
              </w:rPr>
              <w:t>Upload, metadata, access, preview and retention</w:t>
            </w:r>
          </w:p>
        </w:tc>
        <w:tc>
          <w:tcPr>
            <w:tcW w:type="dxa" w:w="2300"/>
            <w:tcBorders>
              <w:top w:val="single" w:sz="6" w:color="CAD6E2"/>
              <w:left w:val="single" w:sz="6" w:color="CAD6E2"/>
              <w:bottom w:val="single" w:sz="6" w:color="CAD6E2"/>
              <w:right w:val="single" w:sz="6" w:color="CAD6E2"/>
              <w:insideH w:val="single" w:sz="6" w:color="CAD6E2"/>
              <w:insideV w:val="single" w:sz="6" w:color="CAD6E2"/>
            </w:tcBorders>
            <w:vAlign w:val="center"/>
            <w:tcMar>
              <w:top w:w="60" w:type="dxa"/>
              <w:bottom w:w="60" w:type="dxa"/>
              <w:start w:w="120" w:type="dxa"/>
              <w:end w:w="120" w:type="dxa"/>
            </w:tcMar>
          </w:tcPr>
          <w:p>
            <w:pPr>
              <w:keepNext w:val="0"/>
              <w:keepLines w:val="0"/>
              <w:widowControl/>
              <w:spacing w:before="20" w:after="20" w:line="259" w:lineRule="auto"/>
            </w:pPr>
            <w:r>
              <w:rPr>
                <w:rFonts w:ascii="Calibri" w:hAnsi="Calibri" w:eastAsia="Calibri"/>
                <w:b w:val="0"/>
                <w:sz w:val="16"/>
              </w:rPr>
              <w:t>Storage policy</w:t>
            </w:r>
          </w:p>
        </w:tc>
      </w:tr>
      <w:tr>
        <w:trPr/>
        <w:tc>
          <w:tcPr>
            <w:tcW w:type="dxa" w:w="20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60" w:type="dxa"/>
              <w:bottom w:w="60" w:type="dxa"/>
              <w:start w:w="120" w:type="dxa"/>
              <w:end w:w="120" w:type="dxa"/>
            </w:tcMar>
          </w:tcPr>
          <w:p>
            <w:pPr>
              <w:keepNext w:val="0"/>
              <w:keepLines w:val="0"/>
              <w:widowControl/>
              <w:spacing w:before="20" w:after="20" w:line="259" w:lineRule="auto"/>
            </w:pPr>
            <w:r>
              <w:rPr>
                <w:rFonts w:ascii="Calibri" w:hAnsi="Calibri" w:eastAsia="Calibri"/>
                <w:b/>
                <w:sz w:val="16"/>
              </w:rPr>
              <w:t>Billing</w:t>
            </w:r>
          </w:p>
        </w:tc>
        <w:tc>
          <w:tcPr>
            <w:tcW w:type="dxa" w:w="506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60" w:type="dxa"/>
              <w:bottom w:w="60" w:type="dxa"/>
              <w:start w:w="120" w:type="dxa"/>
              <w:end w:w="120" w:type="dxa"/>
            </w:tcMar>
          </w:tcPr>
          <w:p>
            <w:pPr>
              <w:keepNext w:val="0"/>
              <w:keepLines w:val="0"/>
              <w:widowControl/>
              <w:spacing w:before="20" w:after="20" w:line="259" w:lineRule="auto"/>
            </w:pPr>
            <w:r>
              <w:rPr>
                <w:rFonts w:ascii="Calibri" w:hAnsi="Calibri" w:eastAsia="Calibri"/>
                <w:b w:val="0"/>
                <w:sz w:val="16"/>
              </w:rPr>
              <w:t>Subscriptions, usage/transaction charging, quotas, invoices and credits</w:t>
            </w:r>
          </w:p>
        </w:tc>
        <w:tc>
          <w:tcPr>
            <w:tcW w:type="dxa" w:w="23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60" w:type="dxa"/>
              <w:bottom w:w="60" w:type="dxa"/>
              <w:start w:w="120" w:type="dxa"/>
              <w:end w:w="120" w:type="dxa"/>
            </w:tcMar>
          </w:tcPr>
          <w:p>
            <w:pPr>
              <w:keepNext w:val="0"/>
              <w:keepLines w:val="0"/>
              <w:widowControl/>
              <w:spacing w:before="20" w:after="20" w:line="259" w:lineRule="auto"/>
            </w:pPr>
            <w:r>
              <w:rPr>
                <w:rFonts w:ascii="Calibri" w:hAnsi="Calibri" w:eastAsia="Calibri"/>
                <w:b w:val="0"/>
                <w:sz w:val="16"/>
              </w:rPr>
              <w:t>Plans and prices</w:t>
            </w:r>
          </w:p>
        </w:tc>
      </w:tr>
    </w:tbl>
    <w:p>
      <w:pPr>
        <w:keepNext w:val="0"/>
        <w:keepLines w:val="0"/>
        <w:widowControl/>
        <w:spacing w:before="0" w:after="40" w:line="264" w:lineRule="auto"/>
        <w:jc w:val="left"/>
      </w:pPr>
      <w:r>
        <w:rPr>
          <w:rFonts w:ascii="Calibri" w:hAnsi="Calibri" w:eastAsia="Calibri"/>
          <w:b w:val="0"/>
          <w:i w:val="0"/>
          <w:color w:val="172033"/>
          <w:sz w:val="22"/>
        </w:rPr>
      </w:r>
    </w:p>
    <w:p>
      <w:r>
        <w:br w:type="page"/>
      </w:r>
    </w:p>
    <w:p>
      <w:pPr>
        <w:pStyle w:val="Heading2"/>
        <w:keepNext/>
      </w:pPr>
      <w:r>
        <w:t>Core modules included in every project (continued)</w:t>
      </w:r>
    </w:p>
    <w:tbl>
      <w:tblPr>
        <w:tblStyle w:val="TableGrid"/>
        <w:tblW w:type="dxa" w:w="9360"/>
        <w:jc w:val="left"/>
        <w:tblLayout w:type="fixed"/>
        <w:tblLook w:firstColumn="1" w:firstRow="1" w:lastColumn="0" w:lastRow="0" w:noHBand="0" w:noVBand="1" w:val="04A0"/>
        <w:tblInd w:type="dxa" w:w="120"/>
      </w:tblPr>
      <w:tblGrid>
        <w:gridCol w:w="2000"/>
        <w:gridCol w:w="5060"/>
        <w:gridCol w:w="2300"/>
      </w:tblGrid>
      <w:tr>
        <w:trPr>
          <w:tblHeader w:val="true"/>
        </w:trPr>
        <w:tc>
          <w:tcPr>
            <w:tcW w:type="dxa" w:w="2000"/>
            <w:shd w:fill="0B2545"/>
            <w:tcBorders>
              <w:top w:val="single" w:sz="6" w:color="CAD6E2"/>
              <w:left w:val="single" w:sz="6" w:color="CAD6E2"/>
              <w:bottom w:val="single" w:sz="6" w:color="CAD6E2"/>
              <w:right w:val="single" w:sz="6" w:color="CAD6E2"/>
              <w:insideH w:val="single" w:sz="6" w:color="CAD6E2"/>
              <w:insideV w:val="single" w:sz="6" w:color="CAD6E2"/>
            </w:tcBorders>
            <w:vAlign w:val="center"/>
            <w:tcMar>
              <w:top w:w="60" w:type="dxa"/>
              <w:bottom w:w="60" w:type="dxa"/>
              <w:start w:w="120" w:type="dxa"/>
              <w:end w:w="120" w:type="dxa"/>
            </w:tcMar>
          </w:tcPr>
          <w:p>
            <w:pPr>
              <w:keepNext w:val="0"/>
              <w:keepLines w:val="0"/>
              <w:widowControl/>
              <w:spacing w:before="20" w:after="20" w:line="240" w:lineRule="auto"/>
            </w:pPr>
            <w:r>
              <w:rPr>
                <w:rFonts w:ascii="Calibri" w:hAnsi="Calibri" w:eastAsia="Calibri"/>
                <w:b/>
                <w:color w:val="FFFFFF"/>
                <w:sz w:val="18"/>
              </w:rPr>
              <w:t>Module</w:t>
            </w:r>
          </w:p>
        </w:tc>
        <w:tc>
          <w:tcPr>
            <w:tcW w:type="dxa" w:w="5060"/>
            <w:shd w:fill="0B2545"/>
            <w:tcBorders>
              <w:top w:val="single" w:sz="6" w:color="CAD6E2"/>
              <w:left w:val="single" w:sz="6" w:color="CAD6E2"/>
              <w:bottom w:val="single" w:sz="6" w:color="CAD6E2"/>
              <w:right w:val="single" w:sz="6" w:color="CAD6E2"/>
              <w:insideH w:val="single" w:sz="6" w:color="CAD6E2"/>
              <w:insideV w:val="single" w:sz="6" w:color="CAD6E2"/>
            </w:tcBorders>
            <w:vAlign w:val="center"/>
            <w:tcMar>
              <w:top w:w="60" w:type="dxa"/>
              <w:bottom w:w="60" w:type="dxa"/>
              <w:start w:w="120" w:type="dxa"/>
              <w:end w:w="120" w:type="dxa"/>
            </w:tcMar>
          </w:tcPr>
          <w:p>
            <w:pPr>
              <w:keepNext w:val="0"/>
              <w:keepLines w:val="0"/>
              <w:widowControl/>
              <w:spacing w:before="20" w:after="20" w:line="240" w:lineRule="auto"/>
            </w:pPr>
            <w:r>
              <w:rPr>
                <w:rFonts w:ascii="Calibri" w:hAnsi="Calibri" w:eastAsia="Calibri"/>
                <w:b/>
                <w:color w:val="FFFFFF"/>
                <w:sz w:val="18"/>
              </w:rPr>
              <w:t>Always-prebuilt capability</w:t>
            </w:r>
          </w:p>
        </w:tc>
        <w:tc>
          <w:tcPr>
            <w:tcW w:type="dxa" w:w="2300"/>
            <w:shd w:fill="0B2545"/>
            <w:tcBorders>
              <w:top w:val="single" w:sz="6" w:color="CAD6E2"/>
              <w:left w:val="single" w:sz="6" w:color="CAD6E2"/>
              <w:bottom w:val="single" w:sz="6" w:color="CAD6E2"/>
              <w:right w:val="single" w:sz="6" w:color="CAD6E2"/>
              <w:insideH w:val="single" w:sz="6" w:color="CAD6E2"/>
              <w:insideV w:val="single" w:sz="6" w:color="CAD6E2"/>
            </w:tcBorders>
            <w:vAlign w:val="center"/>
            <w:tcMar>
              <w:top w:w="60" w:type="dxa"/>
              <w:bottom w:w="60" w:type="dxa"/>
              <w:start w:w="120" w:type="dxa"/>
              <w:end w:w="120" w:type="dxa"/>
            </w:tcMar>
          </w:tcPr>
          <w:p>
            <w:pPr>
              <w:keepNext w:val="0"/>
              <w:keepLines w:val="0"/>
              <w:widowControl/>
              <w:spacing w:before="20" w:after="20" w:line="240" w:lineRule="auto"/>
            </w:pPr>
            <w:r>
              <w:rPr>
                <w:rFonts w:ascii="Calibri" w:hAnsi="Calibri" w:eastAsia="Calibri"/>
                <w:b/>
                <w:color w:val="FFFFFF"/>
                <w:sz w:val="18"/>
              </w:rPr>
              <w:t>Per-project input</w:t>
            </w:r>
          </w:p>
        </w:tc>
      </w:tr>
      <w:tr>
        <w:trPr/>
        <w:tc>
          <w:tcPr>
            <w:tcW w:type="dxa" w:w="2000"/>
            <w:tcBorders>
              <w:top w:val="single" w:sz="6" w:color="CAD6E2"/>
              <w:left w:val="single" w:sz="6" w:color="CAD6E2"/>
              <w:bottom w:val="single" w:sz="6" w:color="CAD6E2"/>
              <w:right w:val="single" w:sz="6" w:color="CAD6E2"/>
              <w:insideH w:val="single" w:sz="6" w:color="CAD6E2"/>
              <w:insideV w:val="single" w:sz="6" w:color="CAD6E2"/>
            </w:tcBorders>
            <w:vAlign w:val="center"/>
            <w:tcMar>
              <w:top w:w="60" w:type="dxa"/>
              <w:bottom w:w="60" w:type="dxa"/>
              <w:start w:w="120" w:type="dxa"/>
              <w:end w:w="120" w:type="dxa"/>
            </w:tcMar>
          </w:tcPr>
          <w:p>
            <w:pPr>
              <w:keepNext w:val="0"/>
              <w:keepLines w:val="0"/>
              <w:widowControl/>
              <w:spacing w:before="20" w:after="20" w:line="259" w:lineRule="auto"/>
            </w:pPr>
            <w:r>
              <w:rPr>
                <w:rFonts w:ascii="Calibri" w:hAnsi="Calibri" w:eastAsia="Calibri"/>
                <w:b/>
                <w:sz w:val="16"/>
              </w:rPr>
              <w:t>Payments</w:t>
            </w:r>
          </w:p>
        </w:tc>
        <w:tc>
          <w:tcPr>
            <w:tcW w:type="dxa" w:w="5060"/>
            <w:tcBorders>
              <w:top w:val="single" w:sz="6" w:color="CAD6E2"/>
              <w:left w:val="single" w:sz="6" w:color="CAD6E2"/>
              <w:bottom w:val="single" w:sz="6" w:color="CAD6E2"/>
              <w:right w:val="single" w:sz="6" w:color="CAD6E2"/>
              <w:insideH w:val="single" w:sz="6" w:color="CAD6E2"/>
              <w:insideV w:val="single" w:sz="6" w:color="CAD6E2"/>
            </w:tcBorders>
            <w:vAlign w:val="center"/>
            <w:tcMar>
              <w:top w:w="60" w:type="dxa"/>
              <w:bottom w:w="60" w:type="dxa"/>
              <w:start w:w="120" w:type="dxa"/>
              <w:end w:w="120" w:type="dxa"/>
            </w:tcMar>
          </w:tcPr>
          <w:p>
            <w:pPr>
              <w:keepNext w:val="0"/>
              <w:keepLines w:val="0"/>
              <w:widowControl/>
              <w:spacing w:before="20" w:after="20" w:line="259" w:lineRule="auto"/>
            </w:pPr>
            <w:r>
              <w:rPr>
                <w:rFonts w:ascii="Calibri" w:hAnsi="Calibri" w:eastAsia="Calibri"/>
                <w:b w:val="0"/>
                <w:sz w:val="16"/>
              </w:rPr>
              <w:t>Razorpay order, verification, webhook, refund and transaction flows</w:t>
            </w:r>
          </w:p>
        </w:tc>
        <w:tc>
          <w:tcPr>
            <w:tcW w:type="dxa" w:w="2300"/>
            <w:tcBorders>
              <w:top w:val="single" w:sz="6" w:color="CAD6E2"/>
              <w:left w:val="single" w:sz="6" w:color="CAD6E2"/>
              <w:bottom w:val="single" w:sz="6" w:color="CAD6E2"/>
              <w:right w:val="single" w:sz="6" w:color="CAD6E2"/>
              <w:insideH w:val="single" w:sz="6" w:color="CAD6E2"/>
              <w:insideV w:val="single" w:sz="6" w:color="CAD6E2"/>
            </w:tcBorders>
            <w:vAlign w:val="center"/>
            <w:tcMar>
              <w:top w:w="60" w:type="dxa"/>
              <w:bottom w:w="60" w:type="dxa"/>
              <w:start w:w="120" w:type="dxa"/>
              <w:end w:w="120" w:type="dxa"/>
            </w:tcMar>
          </w:tcPr>
          <w:p>
            <w:pPr>
              <w:keepNext w:val="0"/>
              <w:keepLines w:val="0"/>
              <w:widowControl/>
              <w:spacing w:before="20" w:after="20" w:line="259" w:lineRule="auto"/>
            </w:pPr>
            <w:r>
              <w:rPr>
                <w:rFonts w:ascii="Calibri" w:hAnsi="Calibri" w:eastAsia="Calibri"/>
                <w:b w:val="0"/>
                <w:sz w:val="16"/>
              </w:rPr>
              <w:t>Credentials and modes</w:t>
            </w:r>
          </w:p>
        </w:tc>
      </w:tr>
      <w:tr>
        <w:trPr/>
        <w:tc>
          <w:tcPr>
            <w:tcW w:type="dxa" w:w="20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60" w:type="dxa"/>
              <w:bottom w:w="60" w:type="dxa"/>
              <w:start w:w="120" w:type="dxa"/>
              <w:end w:w="120" w:type="dxa"/>
            </w:tcMar>
          </w:tcPr>
          <w:p>
            <w:pPr>
              <w:keepNext w:val="0"/>
              <w:keepLines w:val="0"/>
              <w:widowControl/>
              <w:spacing w:before="20" w:after="20" w:line="259" w:lineRule="auto"/>
            </w:pPr>
            <w:r>
              <w:rPr>
                <w:rFonts w:ascii="Calibri" w:hAnsi="Calibri" w:eastAsia="Calibri"/>
                <w:b/>
                <w:sz w:val="16"/>
              </w:rPr>
              <w:t>Reporting</w:t>
            </w:r>
          </w:p>
        </w:tc>
        <w:tc>
          <w:tcPr>
            <w:tcW w:type="dxa" w:w="506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60" w:type="dxa"/>
              <w:bottom w:w="60" w:type="dxa"/>
              <w:start w:w="120" w:type="dxa"/>
              <w:end w:w="120" w:type="dxa"/>
            </w:tcMar>
          </w:tcPr>
          <w:p>
            <w:pPr>
              <w:keepNext w:val="0"/>
              <w:keepLines w:val="0"/>
              <w:widowControl/>
              <w:spacing w:before="20" w:after="20" w:line="259" w:lineRule="auto"/>
            </w:pPr>
            <w:r>
              <w:rPr>
                <w:rFonts w:ascii="Calibri" w:hAnsi="Calibri" w:eastAsia="Calibri"/>
                <w:b w:val="0"/>
                <w:sz w:val="16"/>
              </w:rPr>
              <w:t>Dashboards, advanced reports, exports and schedules</w:t>
            </w:r>
          </w:p>
        </w:tc>
        <w:tc>
          <w:tcPr>
            <w:tcW w:type="dxa" w:w="23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60" w:type="dxa"/>
              <w:bottom w:w="60" w:type="dxa"/>
              <w:start w:w="120" w:type="dxa"/>
              <w:end w:w="120" w:type="dxa"/>
            </w:tcMar>
          </w:tcPr>
          <w:p>
            <w:pPr>
              <w:keepNext w:val="0"/>
              <w:keepLines w:val="0"/>
              <w:widowControl/>
              <w:spacing w:before="20" w:after="20" w:line="259" w:lineRule="auto"/>
            </w:pPr>
            <w:r>
              <w:rPr>
                <w:rFonts w:ascii="Calibri" w:hAnsi="Calibri" w:eastAsia="Calibri"/>
                <w:b w:val="0"/>
                <w:sz w:val="16"/>
              </w:rPr>
              <w:t>Report definitions</w:t>
            </w:r>
          </w:p>
        </w:tc>
      </w:tr>
      <w:tr>
        <w:trPr/>
        <w:tc>
          <w:tcPr>
            <w:tcW w:type="dxa" w:w="2000"/>
            <w:tcBorders>
              <w:top w:val="single" w:sz="6" w:color="CAD6E2"/>
              <w:left w:val="single" w:sz="6" w:color="CAD6E2"/>
              <w:bottom w:val="single" w:sz="6" w:color="CAD6E2"/>
              <w:right w:val="single" w:sz="6" w:color="CAD6E2"/>
              <w:insideH w:val="single" w:sz="6" w:color="CAD6E2"/>
              <w:insideV w:val="single" w:sz="6" w:color="CAD6E2"/>
            </w:tcBorders>
            <w:vAlign w:val="center"/>
            <w:tcMar>
              <w:top w:w="60" w:type="dxa"/>
              <w:bottom w:w="60" w:type="dxa"/>
              <w:start w:w="120" w:type="dxa"/>
              <w:end w:w="120" w:type="dxa"/>
            </w:tcMar>
          </w:tcPr>
          <w:p>
            <w:pPr>
              <w:keepNext w:val="0"/>
              <w:keepLines w:val="0"/>
              <w:widowControl/>
              <w:spacing w:before="20" w:after="20" w:line="259" w:lineRule="auto"/>
            </w:pPr>
            <w:r>
              <w:rPr>
                <w:rFonts w:ascii="Calibri" w:hAnsi="Calibri" w:eastAsia="Calibri"/>
                <w:b/>
                <w:sz w:val="16"/>
              </w:rPr>
              <w:t>Communication</w:t>
            </w:r>
          </w:p>
        </w:tc>
        <w:tc>
          <w:tcPr>
            <w:tcW w:type="dxa" w:w="5060"/>
            <w:tcBorders>
              <w:top w:val="single" w:sz="6" w:color="CAD6E2"/>
              <w:left w:val="single" w:sz="6" w:color="CAD6E2"/>
              <w:bottom w:val="single" w:sz="6" w:color="CAD6E2"/>
              <w:right w:val="single" w:sz="6" w:color="CAD6E2"/>
              <w:insideH w:val="single" w:sz="6" w:color="CAD6E2"/>
              <w:insideV w:val="single" w:sz="6" w:color="CAD6E2"/>
            </w:tcBorders>
            <w:vAlign w:val="center"/>
            <w:tcMar>
              <w:top w:w="60" w:type="dxa"/>
              <w:bottom w:w="60" w:type="dxa"/>
              <w:start w:w="120" w:type="dxa"/>
              <w:end w:w="120" w:type="dxa"/>
            </w:tcMar>
          </w:tcPr>
          <w:p>
            <w:pPr>
              <w:keepNext w:val="0"/>
              <w:keepLines w:val="0"/>
              <w:widowControl/>
              <w:spacing w:before="20" w:after="20" w:line="259" w:lineRule="auto"/>
            </w:pPr>
            <w:r>
              <w:rPr>
                <w:rFonts w:ascii="Calibri" w:hAnsi="Calibri" w:eastAsia="Calibri"/>
                <w:b w:val="0"/>
                <w:sz w:val="16"/>
              </w:rPr>
              <w:t>In-app, SMS, push and provider email</w:t>
            </w:r>
          </w:p>
        </w:tc>
        <w:tc>
          <w:tcPr>
            <w:tcW w:type="dxa" w:w="2300"/>
            <w:tcBorders>
              <w:top w:val="single" w:sz="6" w:color="CAD6E2"/>
              <w:left w:val="single" w:sz="6" w:color="CAD6E2"/>
              <w:bottom w:val="single" w:sz="6" w:color="CAD6E2"/>
              <w:right w:val="single" w:sz="6" w:color="CAD6E2"/>
              <w:insideH w:val="single" w:sz="6" w:color="CAD6E2"/>
              <w:insideV w:val="single" w:sz="6" w:color="CAD6E2"/>
            </w:tcBorders>
            <w:vAlign w:val="center"/>
            <w:tcMar>
              <w:top w:w="60" w:type="dxa"/>
              <w:bottom w:w="60" w:type="dxa"/>
              <w:start w:w="120" w:type="dxa"/>
              <w:end w:w="120" w:type="dxa"/>
            </w:tcMar>
          </w:tcPr>
          <w:p>
            <w:pPr>
              <w:keepNext w:val="0"/>
              <w:keepLines w:val="0"/>
              <w:widowControl/>
              <w:spacing w:before="20" w:after="20" w:line="259" w:lineRule="auto"/>
            </w:pPr>
            <w:r>
              <w:rPr>
                <w:rFonts w:ascii="Calibri" w:hAnsi="Calibri" w:eastAsia="Calibri"/>
                <w:b w:val="0"/>
                <w:sz w:val="16"/>
              </w:rPr>
              <w:t>Providers and templates</w:t>
            </w:r>
          </w:p>
        </w:tc>
      </w:tr>
      <w:tr>
        <w:trPr/>
        <w:tc>
          <w:tcPr>
            <w:tcW w:type="dxa" w:w="20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60" w:type="dxa"/>
              <w:bottom w:w="60" w:type="dxa"/>
              <w:start w:w="120" w:type="dxa"/>
              <w:end w:w="120" w:type="dxa"/>
            </w:tcMar>
          </w:tcPr>
          <w:p>
            <w:pPr>
              <w:keepNext w:val="0"/>
              <w:keepLines w:val="0"/>
              <w:widowControl/>
              <w:spacing w:before="20" w:after="20" w:line="259" w:lineRule="auto"/>
            </w:pPr>
            <w:r>
              <w:rPr>
                <w:rFonts w:ascii="Calibri" w:hAnsi="Calibri" w:eastAsia="Calibri"/>
                <w:b/>
                <w:sz w:val="16"/>
              </w:rPr>
              <w:t>Audit</w:t>
            </w:r>
          </w:p>
        </w:tc>
        <w:tc>
          <w:tcPr>
            <w:tcW w:type="dxa" w:w="506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60" w:type="dxa"/>
              <w:bottom w:w="60" w:type="dxa"/>
              <w:start w:w="120" w:type="dxa"/>
              <w:end w:w="120" w:type="dxa"/>
            </w:tcMar>
          </w:tcPr>
          <w:p>
            <w:pPr>
              <w:keepNext w:val="0"/>
              <w:keepLines w:val="0"/>
              <w:widowControl/>
              <w:spacing w:before="20" w:after="20" w:line="259" w:lineRule="auto"/>
            </w:pPr>
            <w:r>
              <w:rPr>
                <w:rFonts w:ascii="Calibri" w:hAnsi="Calibri" w:eastAsia="Calibri"/>
                <w:b w:val="0"/>
                <w:sz w:val="16"/>
              </w:rPr>
              <w:t>Immutable security and business activity history</w:t>
            </w:r>
          </w:p>
        </w:tc>
        <w:tc>
          <w:tcPr>
            <w:tcW w:type="dxa" w:w="23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60" w:type="dxa"/>
              <w:bottom w:w="60" w:type="dxa"/>
              <w:start w:w="120" w:type="dxa"/>
              <w:end w:w="120" w:type="dxa"/>
            </w:tcMar>
          </w:tcPr>
          <w:p>
            <w:pPr>
              <w:keepNext w:val="0"/>
              <w:keepLines w:val="0"/>
              <w:widowControl/>
              <w:spacing w:before="20" w:after="20" w:line="259" w:lineRule="auto"/>
            </w:pPr>
            <w:r>
              <w:rPr>
                <w:rFonts w:ascii="Calibri" w:hAnsi="Calibri" w:eastAsia="Calibri"/>
                <w:b w:val="0"/>
                <w:sz w:val="16"/>
              </w:rPr>
              <w:t>Retention policy</w:t>
            </w:r>
          </w:p>
        </w:tc>
      </w:tr>
      <w:tr>
        <w:trPr/>
        <w:tc>
          <w:tcPr>
            <w:tcW w:type="dxa" w:w="2000"/>
            <w:tcBorders>
              <w:top w:val="single" w:sz="6" w:color="CAD6E2"/>
              <w:left w:val="single" w:sz="6" w:color="CAD6E2"/>
              <w:bottom w:val="single" w:sz="6" w:color="CAD6E2"/>
              <w:right w:val="single" w:sz="6" w:color="CAD6E2"/>
              <w:insideH w:val="single" w:sz="6" w:color="CAD6E2"/>
              <w:insideV w:val="single" w:sz="6" w:color="CAD6E2"/>
            </w:tcBorders>
            <w:vAlign w:val="center"/>
            <w:tcMar>
              <w:top w:w="60" w:type="dxa"/>
              <w:bottom w:w="60" w:type="dxa"/>
              <w:start w:w="120" w:type="dxa"/>
              <w:end w:w="120" w:type="dxa"/>
            </w:tcMar>
          </w:tcPr>
          <w:p>
            <w:pPr>
              <w:keepNext w:val="0"/>
              <w:keepLines w:val="0"/>
              <w:widowControl/>
              <w:spacing w:before="20" w:after="20" w:line="259" w:lineRule="auto"/>
            </w:pPr>
            <w:r>
              <w:rPr>
                <w:rFonts w:ascii="Calibri" w:hAnsi="Calibri" w:eastAsia="Calibri"/>
                <w:b/>
                <w:sz w:val="16"/>
              </w:rPr>
              <w:t>Settings</w:t>
            </w:r>
          </w:p>
        </w:tc>
        <w:tc>
          <w:tcPr>
            <w:tcW w:type="dxa" w:w="5060"/>
            <w:tcBorders>
              <w:top w:val="single" w:sz="6" w:color="CAD6E2"/>
              <w:left w:val="single" w:sz="6" w:color="CAD6E2"/>
              <w:bottom w:val="single" w:sz="6" w:color="CAD6E2"/>
              <w:right w:val="single" w:sz="6" w:color="CAD6E2"/>
              <w:insideH w:val="single" w:sz="6" w:color="CAD6E2"/>
              <w:insideV w:val="single" w:sz="6" w:color="CAD6E2"/>
            </w:tcBorders>
            <w:vAlign w:val="center"/>
            <w:tcMar>
              <w:top w:w="60" w:type="dxa"/>
              <w:bottom w:w="60" w:type="dxa"/>
              <w:start w:w="120" w:type="dxa"/>
              <w:end w:w="120" w:type="dxa"/>
            </w:tcMar>
          </w:tcPr>
          <w:p>
            <w:pPr>
              <w:keepNext w:val="0"/>
              <w:keepLines w:val="0"/>
              <w:widowControl/>
              <w:spacing w:before="20" w:after="20" w:line="259" w:lineRule="auto"/>
            </w:pPr>
            <w:r>
              <w:rPr>
                <w:rFonts w:ascii="Calibri" w:hAnsi="Calibri" w:eastAsia="Calibri"/>
                <w:b w:val="0"/>
                <w:sz w:val="16"/>
              </w:rPr>
              <w:t>Platform, tenant and user configuration plus feature flags</w:t>
            </w:r>
          </w:p>
        </w:tc>
        <w:tc>
          <w:tcPr>
            <w:tcW w:type="dxa" w:w="2300"/>
            <w:tcBorders>
              <w:top w:val="single" w:sz="6" w:color="CAD6E2"/>
              <w:left w:val="single" w:sz="6" w:color="CAD6E2"/>
              <w:bottom w:val="single" w:sz="6" w:color="CAD6E2"/>
              <w:right w:val="single" w:sz="6" w:color="CAD6E2"/>
              <w:insideH w:val="single" w:sz="6" w:color="CAD6E2"/>
              <w:insideV w:val="single" w:sz="6" w:color="CAD6E2"/>
            </w:tcBorders>
            <w:vAlign w:val="center"/>
            <w:tcMar>
              <w:top w:w="60" w:type="dxa"/>
              <w:bottom w:w="60" w:type="dxa"/>
              <w:start w:w="120" w:type="dxa"/>
              <w:end w:w="120" w:type="dxa"/>
            </w:tcMar>
          </w:tcPr>
          <w:p>
            <w:pPr>
              <w:keepNext w:val="0"/>
              <w:keepLines w:val="0"/>
              <w:widowControl/>
              <w:spacing w:before="20" w:after="20" w:line="259" w:lineRule="auto"/>
            </w:pPr>
            <w:r>
              <w:rPr>
                <w:rFonts w:ascii="Calibri" w:hAnsi="Calibri" w:eastAsia="Calibri"/>
                <w:b w:val="0"/>
                <w:sz w:val="16"/>
              </w:rPr>
              <w:t>Values</w:t>
            </w:r>
          </w:p>
        </w:tc>
      </w:tr>
      <w:tr>
        <w:trPr/>
        <w:tc>
          <w:tcPr>
            <w:tcW w:type="dxa" w:w="20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60" w:type="dxa"/>
              <w:bottom w:w="60" w:type="dxa"/>
              <w:start w:w="120" w:type="dxa"/>
              <w:end w:w="120" w:type="dxa"/>
            </w:tcMar>
          </w:tcPr>
          <w:p>
            <w:pPr>
              <w:keepNext w:val="0"/>
              <w:keepLines w:val="0"/>
              <w:widowControl/>
              <w:spacing w:before="20" w:after="20" w:line="259" w:lineRule="auto"/>
            </w:pPr>
            <w:r>
              <w:rPr>
                <w:rFonts w:ascii="Calibri" w:hAnsi="Calibri" w:eastAsia="Calibri"/>
                <w:b/>
                <w:sz w:val="16"/>
              </w:rPr>
              <w:t>API and jobs</w:t>
            </w:r>
          </w:p>
        </w:tc>
        <w:tc>
          <w:tcPr>
            <w:tcW w:type="dxa" w:w="506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60" w:type="dxa"/>
              <w:bottom w:w="60" w:type="dxa"/>
              <w:start w:w="120" w:type="dxa"/>
              <w:end w:w="120" w:type="dxa"/>
            </w:tcMar>
          </w:tcPr>
          <w:p>
            <w:pPr>
              <w:keepNext w:val="0"/>
              <w:keepLines w:val="0"/>
              <w:widowControl/>
              <w:spacing w:before="20" w:after="20" w:line="259" w:lineRule="auto"/>
            </w:pPr>
            <w:r>
              <w:rPr>
                <w:rFonts w:ascii="Calibri" w:hAnsi="Calibri" w:eastAsia="Calibri"/>
                <w:b w:val="0"/>
                <w:sz w:val="16"/>
              </w:rPr>
              <w:t>REST/OpenAPI, webhooks, idempotency, Redis and BullMQ</w:t>
            </w:r>
          </w:p>
        </w:tc>
        <w:tc>
          <w:tcPr>
            <w:tcW w:type="dxa" w:w="23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60" w:type="dxa"/>
              <w:bottom w:w="60" w:type="dxa"/>
              <w:start w:w="120" w:type="dxa"/>
              <w:end w:w="120" w:type="dxa"/>
            </w:tcMar>
          </w:tcPr>
          <w:p>
            <w:pPr>
              <w:keepNext w:val="0"/>
              <w:keepLines w:val="0"/>
              <w:widowControl/>
              <w:spacing w:before="20" w:after="20" w:line="259" w:lineRule="auto"/>
            </w:pPr>
            <w:r>
              <w:rPr>
                <w:rFonts w:ascii="Calibri" w:hAnsi="Calibri" w:eastAsia="Calibri"/>
                <w:b w:val="0"/>
                <w:sz w:val="16"/>
              </w:rPr>
              <w:t>Operational limits</w:t>
            </w:r>
          </w:p>
        </w:tc>
      </w:tr>
      <w:tr>
        <w:trPr/>
        <w:tc>
          <w:tcPr>
            <w:tcW w:type="dxa" w:w="2000"/>
            <w:tcBorders>
              <w:top w:val="single" w:sz="6" w:color="CAD6E2"/>
              <w:left w:val="single" w:sz="6" w:color="CAD6E2"/>
              <w:bottom w:val="single" w:sz="6" w:color="CAD6E2"/>
              <w:right w:val="single" w:sz="6" w:color="CAD6E2"/>
              <w:insideH w:val="single" w:sz="6" w:color="CAD6E2"/>
              <w:insideV w:val="single" w:sz="6" w:color="CAD6E2"/>
            </w:tcBorders>
            <w:vAlign w:val="center"/>
            <w:tcMar>
              <w:top w:w="60" w:type="dxa"/>
              <w:bottom w:w="60" w:type="dxa"/>
              <w:start w:w="120" w:type="dxa"/>
              <w:end w:w="120" w:type="dxa"/>
            </w:tcMar>
          </w:tcPr>
          <w:p>
            <w:pPr>
              <w:keepNext w:val="0"/>
              <w:keepLines w:val="0"/>
              <w:widowControl/>
              <w:spacing w:before="20" w:after="20" w:line="259" w:lineRule="auto"/>
            </w:pPr>
            <w:r>
              <w:rPr>
                <w:rFonts w:ascii="Calibri" w:hAnsi="Calibri" w:eastAsia="Calibri"/>
                <w:b/>
                <w:sz w:val="16"/>
              </w:rPr>
              <w:t>Security and operations</w:t>
            </w:r>
          </w:p>
        </w:tc>
        <w:tc>
          <w:tcPr>
            <w:tcW w:type="dxa" w:w="5060"/>
            <w:tcBorders>
              <w:top w:val="single" w:sz="6" w:color="CAD6E2"/>
              <w:left w:val="single" w:sz="6" w:color="CAD6E2"/>
              <w:bottom w:val="single" w:sz="6" w:color="CAD6E2"/>
              <w:right w:val="single" w:sz="6" w:color="CAD6E2"/>
              <w:insideH w:val="single" w:sz="6" w:color="CAD6E2"/>
              <w:insideV w:val="single" w:sz="6" w:color="CAD6E2"/>
            </w:tcBorders>
            <w:vAlign w:val="center"/>
            <w:tcMar>
              <w:top w:w="60" w:type="dxa"/>
              <w:bottom w:w="60" w:type="dxa"/>
              <w:start w:w="120" w:type="dxa"/>
              <w:end w:w="120" w:type="dxa"/>
            </w:tcMar>
          </w:tcPr>
          <w:p>
            <w:pPr>
              <w:keepNext w:val="0"/>
              <w:keepLines w:val="0"/>
              <w:widowControl/>
              <w:spacing w:before="20" w:after="20" w:line="259" w:lineRule="auto"/>
            </w:pPr>
            <w:r>
              <w:rPr>
                <w:rFonts w:ascii="Calibri" w:hAnsi="Calibri" w:eastAsia="Calibri"/>
                <w:b w:val="0"/>
                <w:sz w:val="16"/>
              </w:rPr>
              <w:t>Validation, rate limits, logs, metrics, tracing, health and deployment</w:t>
            </w:r>
          </w:p>
        </w:tc>
        <w:tc>
          <w:tcPr>
            <w:tcW w:type="dxa" w:w="2300"/>
            <w:tcBorders>
              <w:top w:val="single" w:sz="6" w:color="CAD6E2"/>
              <w:left w:val="single" w:sz="6" w:color="CAD6E2"/>
              <w:bottom w:val="single" w:sz="6" w:color="CAD6E2"/>
              <w:right w:val="single" w:sz="6" w:color="CAD6E2"/>
              <w:insideH w:val="single" w:sz="6" w:color="CAD6E2"/>
              <w:insideV w:val="single" w:sz="6" w:color="CAD6E2"/>
            </w:tcBorders>
            <w:vAlign w:val="center"/>
            <w:tcMar>
              <w:top w:w="60" w:type="dxa"/>
              <w:bottom w:w="60" w:type="dxa"/>
              <w:start w:w="120" w:type="dxa"/>
              <w:end w:w="120" w:type="dxa"/>
            </w:tcMar>
          </w:tcPr>
          <w:p>
            <w:pPr>
              <w:keepNext w:val="0"/>
              <w:keepLines w:val="0"/>
              <w:widowControl/>
              <w:spacing w:before="20" w:after="20" w:line="259" w:lineRule="auto"/>
            </w:pPr>
            <w:r>
              <w:rPr>
                <w:rFonts w:ascii="Calibri" w:hAnsi="Calibri" w:eastAsia="Calibri"/>
                <w:b w:val="0"/>
                <w:sz w:val="16"/>
              </w:rPr>
              <w:t>Environment values</w:t>
            </w:r>
          </w:p>
        </w:tc>
      </w:tr>
    </w:tbl>
    <w:p>
      <w:pPr>
        <w:keepNext w:val="0"/>
        <w:keepLines w:val="0"/>
        <w:widowControl/>
        <w:spacing w:before="0" w:after="40" w:line="264" w:lineRule="auto"/>
        <w:jc w:val="left"/>
      </w:pPr>
      <w:r>
        <w:rPr>
          <w:rFonts w:ascii="Calibri" w:hAnsi="Calibri" w:eastAsia="Calibri"/>
          <w:b w:val="0"/>
          <w:i w:val="0"/>
          <w:color w:val="172033"/>
          <w:sz w:val="22"/>
        </w:rPr>
      </w:r>
    </w:p>
    <w:p>
      <w:pPr>
        <w:pStyle w:val="Heading1"/>
        <w:keepNext/>
      </w:pPr>
      <w:r>
        <w:t>2. Scope and product boundary</w:t>
      </w:r>
    </w:p>
    <w:p>
      <w:pPr>
        <w:pStyle w:val="Heading2"/>
        <w:keepNext/>
      </w:pPr>
      <w:r>
        <w:t>2.1 In scope</w:t>
      </w:r>
    </w:p>
    <w:p>
      <w:pPr>
        <w:keepNext w:val="0"/>
        <w:keepLines w:val="0"/>
        <w:widowControl/>
        <w:numPr>
          <w:ilvl w:val="0"/>
          <w:numId w:val="10"/>
        </w:numPr>
        <w:spacing w:before="0" w:after="160" w:line="280" w:lineRule="auto"/>
      </w:pPr>
      <w:r>
        <w:rPr>
          <w:rFonts w:ascii="Calibri" w:hAnsi="Calibri" w:eastAsia="Calibri"/>
        </w:rPr>
        <w:t>A NestJS modular-monolith backend with independent modules, stable internal interfaces and one deployable API application plus background worker.</w:t>
      </w:r>
    </w:p>
    <w:p>
      <w:pPr>
        <w:keepNext w:val="0"/>
        <w:keepLines w:val="0"/>
        <w:widowControl/>
        <w:numPr>
          <w:ilvl w:val="0"/>
          <w:numId w:val="10"/>
        </w:numPr>
        <w:spacing w:before="0" w:after="160" w:line="280" w:lineRule="auto"/>
      </w:pPr>
      <w:r>
        <w:rPr>
          <w:rFonts w:ascii="Calibri" w:hAnsi="Calibri" w:eastAsia="Calibri"/>
        </w:rPr>
        <w:t>MongoDB collections, indexes, migrations/data transformations, seed data and tenant-aware repositories.</w:t>
      </w:r>
    </w:p>
    <w:p>
      <w:pPr>
        <w:keepNext w:val="0"/>
        <w:keepLines w:val="0"/>
        <w:widowControl/>
        <w:numPr>
          <w:ilvl w:val="0"/>
          <w:numId w:val="10"/>
        </w:numPr>
        <w:spacing w:before="0" w:after="160" w:line="280" w:lineRule="auto"/>
      </w:pPr>
      <w:r>
        <w:rPr>
          <w:rFonts w:ascii="Calibri" w:hAnsi="Calibri" w:eastAsia="Calibri"/>
        </w:rPr>
        <w:t>REST APIs, OpenAPI documentation, webhook endpoints, provider abstractions and background jobs required by the core modules.</w:t>
      </w:r>
    </w:p>
    <w:p>
      <w:pPr>
        <w:keepNext w:val="0"/>
        <w:keepLines w:val="0"/>
        <w:widowControl/>
        <w:numPr>
          <w:ilvl w:val="0"/>
          <w:numId w:val="10"/>
        </w:numPr>
        <w:spacing w:before="0" w:after="160" w:line="280" w:lineRule="auto"/>
      </w:pPr>
      <w:r>
        <w:rPr>
          <w:rFonts w:ascii="Calibri" w:hAnsi="Calibri" w:eastAsia="Calibri"/>
        </w:rPr>
        <w:t>Local mock adapters so the complete backend starts without paid services or production credentials.</w:t>
      </w:r>
    </w:p>
    <w:p>
      <w:pPr>
        <w:keepNext w:val="0"/>
        <w:keepLines w:val="0"/>
        <w:widowControl/>
        <w:numPr>
          <w:ilvl w:val="0"/>
          <w:numId w:val="10"/>
        </w:numPr>
        <w:spacing w:before="0" w:after="160" w:line="280" w:lineRule="auto"/>
      </w:pPr>
      <w:r>
        <w:rPr>
          <w:rFonts w:ascii="Calibri" w:hAnsi="Calibri" w:eastAsia="Calibri"/>
        </w:rPr>
        <w:t>Docker-based local startup, health checks, tests, observability hooks and deployment templates.</w:t>
      </w:r>
    </w:p>
    <w:p>
      <w:pPr>
        <w:keepNext w:val="0"/>
        <w:keepLines w:val="0"/>
        <w:widowControl/>
        <w:numPr>
          <w:ilvl w:val="0"/>
          <w:numId w:val="10"/>
        </w:numPr>
        <w:spacing w:before="0" w:after="160" w:line="280" w:lineRule="auto"/>
      </w:pPr>
      <w:r>
        <w:rPr>
          <w:rFonts w:ascii="Calibri" w:hAnsi="Calibri" w:eastAsia="Calibri"/>
        </w:rPr>
        <w:t>Typed configuration accepted from a project factory or LLM and validated before startup.</w:t>
      </w:r>
    </w:p>
    <w:p>
      <w:pPr>
        <w:pStyle w:val="Heading2"/>
        <w:keepNext/>
      </w:pPr>
      <w:r>
        <w:t>2.2 Out of scope</w:t>
      </w:r>
    </w:p>
    <w:p>
      <w:pPr>
        <w:keepNext w:val="0"/>
        <w:keepLines w:val="0"/>
        <w:widowControl/>
        <w:numPr>
          <w:ilvl w:val="0"/>
          <w:numId w:val="10"/>
        </w:numPr>
        <w:spacing w:before="0" w:after="160" w:line="280" w:lineRule="auto"/>
      </w:pPr>
      <w:r>
        <w:rPr>
          <w:rFonts w:ascii="Calibri" w:hAnsi="Calibri" w:eastAsia="Calibri"/>
        </w:rPr>
        <w:t>Client-specific domain entities such as visa applications, orders, leads, assessments, inventory or service requests.</w:t>
      </w:r>
    </w:p>
    <w:p>
      <w:pPr>
        <w:keepNext w:val="0"/>
        <w:keepLines w:val="0"/>
        <w:widowControl/>
        <w:numPr>
          <w:ilvl w:val="0"/>
          <w:numId w:val="10"/>
        </w:numPr>
        <w:spacing w:before="0" w:after="160" w:line="280" w:lineRule="auto"/>
      </w:pPr>
      <w:r>
        <w:rPr>
          <w:rFonts w:ascii="Calibri" w:hAnsi="Calibri" w:eastAsia="Calibri"/>
        </w:rPr>
        <w:t>Client-specific calculations, approvals, AI/OCR logic, ERP integrations or industry-specific workflows.</w:t>
      </w:r>
    </w:p>
    <w:p>
      <w:pPr>
        <w:keepNext w:val="0"/>
        <w:keepLines w:val="0"/>
        <w:widowControl/>
        <w:numPr>
          <w:ilvl w:val="0"/>
          <w:numId w:val="10"/>
        </w:numPr>
        <w:spacing w:before="0" w:after="160" w:line="280" w:lineRule="auto"/>
      </w:pPr>
      <w:r>
        <w:rPr>
          <w:rFonts w:ascii="Calibri" w:hAnsi="Calibri" w:eastAsia="Calibri"/>
        </w:rPr>
        <w:t>Final web/mobile screen design. The backend shall expose stable contracts for a separately built UI.</w:t>
      </w:r>
    </w:p>
    <w:p>
      <w:pPr>
        <w:keepNext w:val="0"/>
        <w:keepLines w:val="0"/>
        <w:widowControl/>
        <w:numPr>
          <w:ilvl w:val="0"/>
          <w:numId w:val="10"/>
        </w:numPr>
        <w:spacing w:before="0" w:after="160" w:line="280" w:lineRule="auto"/>
      </w:pPr>
      <w:r>
        <w:rPr>
          <w:rFonts w:ascii="Calibri" w:hAnsi="Calibri" w:eastAsia="Calibri"/>
        </w:rPr>
        <w:t>A full accounting ledger, tax filing system, payroll system or banking core.</w:t>
      </w:r>
    </w:p>
    <w:p>
      <w:pPr>
        <w:keepNext w:val="0"/>
        <w:keepLines w:val="0"/>
        <w:widowControl/>
        <w:numPr>
          <w:ilvl w:val="0"/>
          <w:numId w:val="10"/>
        </w:numPr>
        <w:spacing w:before="0" w:after="160" w:line="280" w:lineRule="auto"/>
      </w:pPr>
      <w:r>
        <w:rPr>
          <w:rFonts w:ascii="Calibri" w:hAnsi="Calibri" w:eastAsia="Calibri"/>
        </w:rPr>
        <w:t>Production deployment and real credential entry as part of boilerplate generation.</w:t>
      </w:r>
    </w:p>
    <w:p>
      <w:pPr>
        <w:pStyle w:val="Heading2"/>
        <w:keepNext/>
      </w:pPr>
      <w:r>
        <w:t>2.3 Protected extension boundaries</w:t>
      </w:r>
    </w:p>
    <w:tbl>
      <w:tblPr>
        <w:tblStyle w:val="TableGrid"/>
        <w:tblW w:type="dxa" w:w="9360"/>
        <w:jc w:val="left"/>
        <w:tblLayout w:type="fixed"/>
        <w:tblLook w:firstColumn="1" w:firstRow="1" w:lastColumn="0" w:lastRow="0" w:noHBand="0" w:noVBand="1" w:val="04A0"/>
        <w:tblInd w:type="dxa" w:w="120"/>
      </w:tblPr>
      <w:tblGrid>
        <w:gridCol w:w="1900"/>
        <w:gridCol w:w="7460"/>
      </w:tblGrid>
      <w:tr>
        <w:trPr>
          <w:tblHeader w:val="true"/>
        </w:trPr>
        <w:tc>
          <w:tcPr>
            <w:tcW w:type="dxa" w:w="1900"/>
            <w:shd w:fill="0B2545"/>
            <w:tcBorders>
              <w:top w:val="single" w:sz="6" w:color="CAD6E2"/>
              <w:left w:val="single" w:sz="6" w:color="CAD6E2"/>
              <w:bottom w:val="single" w:sz="6" w:color="CAD6E2"/>
              <w:right w:val="single" w:sz="6" w:color="CAD6E2"/>
              <w:insideH w:val="single" w:sz="6" w:color="CAD6E2"/>
              <w:insideV w:val="single" w:sz="6" w:color="CAD6E2"/>
            </w:tcBorders>
            <w:vAlign w:val="center"/>
            <w:tcMar>
              <w:top w:w="60" w:type="dxa"/>
              <w:bottom w:w="60" w:type="dxa"/>
              <w:start w:w="120" w:type="dxa"/>
              <w:end w:w="120" w:type="dxa"/>
            </w:tcMar>
          </w:tcPr>
          <w:p>
            <w:pPr>
              <w:keepNext w:val="0"/>
              <w:keepLines w:val="0"/>
              <w:widowControl/>
              <w:spacing w:before="20" w:after="20" w:line="240" w:lineRule="auto"/>
            </w:pPr>
            <w:r>
              <w:rPr>
                <w:rFonts w:ascii="Calibri" w:hAnsi="Calibri" w:eastAsia="Calibri"/>
                <w:b/>
                <w:color w:val="FFFFFF"/>
                <w:sz w:val="18"/>
              </w:rPr>
              <w:t>Area</w:t>
            </w:r>
          </w:p>
        </w:tc>
        <w:tc>
          <w:tcPr>
            <w:tcW w:type="dxa" w:w="7460"/>
            <w:shd w:fill="0B2545"/>
            <w:tcBorders>
              <w:top w:val="single" w:sz="6" w:color="CAD6E2"/>
              <w:left w:val="single" w:sz="6" w:color="CAD6E2"/>
              <w:bottom w:val="single" w:sz="6" w:color="CAD6E2"/>
              <w:right w:val="single" w:sz="6" w:color="CAD6E2"/>
              <w:insideH w:val="single" w:sz="6" w:color="CAD6E2"/>
              <w:insideV w:val="single" w:sz="6" w:color="CAD6E2"/>
            </w:tcBorders>
            <w:vAlign w:val="center"/>
            <w:tcMar>
              <w:top w:w="60" w:type="dxa"/>
              <w:bottom w:w="60" w:type="dxa"/>
              <w:start w:w="120" w:type="dxa"/>
              <w:end w:w="120" w:type="dxa"/>
            </w:tcMar>
          </w:tcPr>
          <w:p>
            <w:pPr>
              <w:keepNext w:val="0"/>
              <w:keepLines w:val="0"/>
              <w:widowControl/>
              <w:spacing w:before="20" w:after="20" w:line="240" w:lineRule="auto"/>
            </w:pPr>
            <w:r>
              <w:rPr>
                <w:rFonts w:ascii="Calibri" w:hAnsi="Calibri" w:eastAsia="Calibri"/>
                <w:b/>
                <w:color w:val="FFFFFF"/>
                <w:sz w:val="18"/>
              </w:rPr>
              <w:t>Rule</w:t>
            </w:r>
          </w:p>
        </w:tc>
      </w:tr>
      <w:tr>
        <w:trPr/>
        <w:tc>
          <w:tcPr>
            <w:tcW w:type="dxa" w:w="1900"/>
            <w:tcBorders>
              <w:top w:val="single" w:sz="6" w:color="CAD6E2"/>
              <w:left w:val="single" w:sz="6" w:color="CAD6E2"/>
              <w:bottom w:val="single" w:sz="6" w:color="CAD6E2"/>
              <w:right w:val="single" w:sz="6" w:color="CAD6E2"/>
              <w:insideH w:val="single" w:sz="6" w:color="CAD6E2"/>
              <w:insideV w:val="single" w:sz="6" w:color="CAD6E2"/>
            </w:tcBorders>
            <w:vAlign w:val="center"/>
            <w:tcMar>
              <w:top w:w="60" w:type="dxa"/>
              <w:bottom w:w="60" w:type="dxa"/>
              <w:start w:w="120" w:type="dxa"/>
              <w:end w:w="120" w:type="dxa"/>
            </w:tcMar>
          </w:tcPr>
          <w:p>
            <w:pPr>
              <w:keepNext w:val="0"/>
              <w:keepLines w:val="0"/>
              <w:widowControl/>
              <w:spacing w:before="20" w:after="20" w:line="259" w:lineRule="auto"/>
            </w:pPr>
            <w:r>
              <w:rPr>
                <w:rFonts w:ascii="Calibri" w:hAnsi="Calibri" w:eastAsia="Calibri"/>
                <w:b/>
                <w:sz w:val="16"/>
              </w:rPr>
              <w:t>core/</w:t>
            </w:r>
          </w:p>
        </w:tc>
        <w:tc>
          <w:tcPr>
            <w:tcW w:type="dxa" w:w="7460"/>
            <w:tcBorders>
              <w:top w:val="single" w:sz="6" w:color="CAD6E2"/>
              <w:left w:val="single" w:sz="6" w:color="CAD6E2"/>
              <w:bottom w:val="single" w:sz="6" w:color="CAD6E2"/>
              <w:right w:val="single" w:sz="6" w:color="CAD6E2"/>
              <w:insideH w:val="single" w:sz="6" w:color="CAD6E2"/>
              <w:insideV w:val="single" w:sz="6" w:color="CAD6E2"/>
            </w:tcBorders>
            <w:vAlign w:val="center"/>
            <w:tcMar>
              <w:top w:w="60" w:type="dxa"/>
              <w:bottom w:w="60" w:type="dxa"/>
              <w:start w:w="120" w:type="dxa"/>
              <w:end w:w="120" w:type="dxa"/>
            </w:tcMar>
          </w:tcPr>
          <w:p>
            <w:pPr>
              <w:keepNext w:val="0"/>
              <w:keepLines w:val="0"/>
              <w:widowControl/>
              <w:spacing w:before="20" w:after="20" w:line="259" w:lineRule="auto"/>
            </w:pPr>
            <w:r>
              <w:rPr>
                <w:rFonts w:ascii="Calibri" w:hAnsi="Calibri" w:eastAsia="Calibri"/>
                <w:b w:val="0"/>
                <w:sz w:val="16"/>
              </w:rPr>
              <w:t>Protected reusable modules. Client projects shall not edit internal core logic directly.</w:t>
            </w:r>
          </w:p>
        </w:tc>
      </w:tr>
      <w:tr>
        <w:trPr/>
        <w:tc>
          <w:tcPr>
            <w:tcW w:type="dxa" w:w="19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60" w:type="dxa"/>
              <w:bottom w:w="60" w:type="dxa"/>
              <w:start w:w="120" w:type="dxa"/>
              <w:end w:w="120" w:type="dxa"/>
            </w:tcMar>
          </w:tcPr>
          <w:p>
            <w:pPr>
              <w:keepNext w:val="0"/>
              <w:keepLines w:val="0"/>
              <w:widowControl/>
              <w:spacing w:before="20" w:after="20" w:line="259" w:lineRule="auto"/>
            </w:pPr>
            <w:r>
              <w:rPr>
                <w:rFonts w:ascii="Calibri" w:hAnsi="Calibri" w:eastAsia="Calibri"/>
                <w:b/>
                <w:sz w:val="16"/>
              </w:rPr>
              <w:t>config/</w:t>
            </w:r>
          </w:p>
        </w:tc>
        <w:tc>
          <w:tcPr>
            <w:tcW w:type="dxa" w:w="746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60" w:type="dxa"/>
              <w:bottom w:w="60" w:type="dxa"/>
              <w:start w:w="120" w:type="dxa"/>
              <w:end w:w="120" w:type="dxa"/>
            </w:tcMar>
          </w:tcPr>
          <w:p>
            <w:pPr>
              <w:keepNext w:val="0"/>
              <w:keepLines w:val="0"/>
              <w:widowControl/>
              <w:spacing w:before="20" w:after="20" w:line="259" w:lineRule="auto"/>
            </w:pPr>
            <w:r>
              <w:rPr>
                <w:rFonts w:ascii="Calibri" w:hAnsi="Calibri" w:eastAsia="Calibri"/>
                <w:b w:val="0"/>
                <w:sz w:val="16"/>
              </w:rPr>
              <w:t>Validated project, tenant, provider, limits and branding values.</w:t>
            </w:r>
          </w:p>
        </w:tc>
      </w:tr>
      <w:tr>
        <w:trPr/>
        <w:tc>
          <w:tcPr>
            <w:tcW w:type="dxa" w:w="1900"/>
            <w:tcBorders>
              <w:top w:val="single" w:sz="6" w:color="CAD6E2"/>
              <w:left w:val="single" w:sz="6" w:color="CAD6E2"/>
              <w:bottom w:val="single" w:sz="6" w:color="CAD6E2"/>
              <w:right w:val="single" w:sz="6" w:color="CAD6E2"/>
              <w:insideH w:val="single" w:sz="6" w:color="CAD6E2"/>
              <w:insideV w:val="single" w:sz="6" w:color="CAD6E2"/>
            </w:tcBorders>
            <w:vAlign w:val="center"/>
            <w:tcMar>
              <w:top w:w="60" w:type="dxa"/>
              <w:bottom w:w="60" w:type="dxa"/>
              <w:start w:w="120" w:type="dxa"/>
              <w:end w:w="120" w:type="dxa"/>
            </w:tcMar>
          </w:tcPr>
          <w:p>
            <w:pPr>
              <w:keepNext w:val="0"/>
              <w:keepLines w:val="0"/>
              <w:widowControl/>
              <w:spacing w:before="20" w:after="20" w:line="259" w:lineRule="auto"/>
            </w:pPr>
            <w:r>
              <w:rPr>
                <w:rFonts w:ascii="Calibri" w:hAnsi="Calibri" w:eastAsia="Calibri"/>
                <w:b/>
                <w:sz w:val="16"/>
              </w:rPr>
              <w:t>modules/</w:t>
            </w:r>
          </w:p>
        </w:tc>
        <w:tc>
          <w:tcPr>
            <w:tcW w:type="dxa" w:w="7460"/>
            <w:tcBorders>
              <w:top w:val="single" w:sz="6" w:color="CAD6E2"/>
              <w:left w:val="single" w:sz="6" w:color="CAD6E2"/>
              <w:bottom w:val="single" w:sz="6" w:color="CAD6E2"/>
              <w:right w:val="single" w:sz="6" w:color="CAD6E2"/>
              <w:insideH w:val="single" w:sz="6" w:color="CAD6E2"/>
              <w:insideV w:val="single" w:sz="6" w:color="CAD6E2"/>
            </w:tcBorders>
            <w:vAlign w:val="center"/>
            <w:tcMar>
              <w:top w:w="60" w:type="dxa"/>
              <w:bottom w:w="60" w:type="dxa"/>
              <w:start w:w="120" w:type="dxa"/>
              <w:end w:w="120" w:type="dxa"/>
            </w:tcMar>
          </w:tcPr>
          <w:p>
            <w:pPr>
              <w:keepNext w:val="0"/>
              <w:keepLines w:val="0"/>
              <w:widowControl/>
              <w:spacing w:before="20" w:after="20" w:line="259" w:lineRule="auto"/>
            </w:pPr>
            <w:r>
              <w:rPr>
                <w:rFonts w:ascii="Calibri" w:hAnsi="Calibri" w:eastAsia="Calibri"/>
                <w:b w:val="0"/>
                <w:sz w:val="16"/>
              </w:rPr>
              <w:t>Client-specific domain modules created by engineers or an LLM.</w:t>
            </w:r>
          </w:p>
        </w:tc>
      </w:tr>
      <w:tr>
        <w:trPr/>
        <w:tc>
          <w:tcPr>
            <w:tcW w:type="dxa" w:w="19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60" w:type="dxa"/>
              <w:bottom w:w="60" w:type="dxa"/>
              <w:start w:w="120" w:type="dxa"/>
              <w:end w:w="120" w:type="dxa"/>
            </w:tcMar>
          </w:tcPr>
          <w:p>
            <w:pPr>
              <w:keepNext w:val="0"/>
              <w:keepLines w:val="0"/>
              <w:widowControl/>
              <w:spacing w:before="20" w:after="20" w:line="259" w:lineRule="auto"/>
            </w:pPr>
            <w:r>
              <w:rPr>
                <w:rFonts w:ascii="Calibri" w:hAnsi="Calibri" w:eastAsia="Calibri"/>
                <w:b/>
                <w:sz w:val="16"/>
              </w:rPr>
              <w:t>integrations/</w:t>
            </w:r>
          </w:p>
        </w:tc>
        <w:tc>
          <w:tcPr>
            <w:tcW w:type="dxa" w:w="746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60" w:type="dxa"/>
              <w:bottom w:w="60" w:type="dxa"/>
              <w:start w:w="120" w:type="dxa"/>
              <w:end w:w="120" w:type="dxa"/>
            </w:tcMar>
          </w:tcPr>
          <w:p>
            <w:pPr>
              <w:keepNext w:val="0"/>
              <w:keepLines w:val="0"/>
              <w:widowControl/>
              <w:spacing w:before="20" w:after="20" w:line="259" w:lineRule="auto"/>
            </w:pPr>
            <w:r>
              <w:rPr>
                <w:rFonts w:ascii="Calibri" w:hAnsi="Calibri" w:eastAsia="Calibri"/>
                <w:b w:val="0"/>
                <w:sz w:val="16"/>
              </w:rPr>
              <w:t>Provider adapters implementing stable capability interfaces.</w:t>
            </w:r>
          </w:p>
        </w:tc>
      </w:tr>
      <w:tr>
        <w:trPr/>
        <w:tc>
          <w:tcPr>
            <w:tcW w:type="dxa" w:w="1900"/>
            <w:tcBorders>
              <w:top w:val="single" w:sz="6" w:color="CAD6E2"/>
              <w:left w:val="single" w:sz="6" w:color="CAD6E2"/>
              <w:bottom w:val="single" w:sz="6" w:color="CAD6E2"/>
              <w:right w:val="single" w:sz="6" w:color="CAD6E2"/>
              <w:insideH w:val="single" w:sz="6" w:color="CAD6E2"/>
              <w:insideV w:val="single" w:sz="6" w:color="CAD6E2"/>
            </w:tcBorders>
            <w:vAlign w:val="center"/>
            <w:tcMar>
              <w:top w:w="60" w:type="dxa"/>
              <w:bottom w:w="60" w:type="dxa"/>
              <w:start w:w="120" w:type="dxa"/>
              <w:end w:w="120" w:type="dxa"/>
            </w:tcMar>
          </w:tcPr>
          <w:p>
            <w:pPr>
              <w:keepNext w:val="0"/>
              <w:keepLines w:val="0"/>
              <w:widowControl/>
              <w:spacing w:before="20" w:after="20" w:line="259" w:lineRule="auto"/>
            </w:pPr>
            <w:r>
              <w:rPr>
                <w:rFonts w:ascii="Calibri" w:hAnsi="Calibri" w:eastAsia="Calibri"/>
                <w:b/>
                <w:sz w:val="16"/>
              </w:rPr>
              <w:t>generated/</w:t>
            </w:r>
          </w:p>
        </w:tc>
        <w:tc>
          <w:tcPr>
            <w:tcW w:type="dxa" w:w="7460"/>
            <w:tcBorders>
              <w:top w:val="single" w:sz="6" w:color="CAD6E2"/>
              <w:left w:val="single" w:sz="6" w:color="CAD6E2"/>
              <w:bottom w:val="single" w:sz="6" w:color="CAD6E2"/>
              <w:right w:val="single" w:sz="6" w:color="CAD6E2"/>
              <w:insideH w:val="single" w:sz="6" w:color="CAD6E2"/>
              <w:insideV w:val="single" w:sz="6" w:color="CAD6E2"/>
            </w:tcBorders>
            <w:vAlign w:val="center"/>
            <w:tcMar>
              <w:top w:w="60" w:type="dxa"/>
              <w:bottom w:w="60" w:type="dxa"/>
              <w:start w:w="120" w:type="dxa"/>
              <w:end w:w="120" w:type="dxa"/>
            </w:tcMar>
          </w:tcPr>
          <w:p>
            <w:pPr>
              <w:keepNext w:val="0"/>
              <w:keepLines w:val="0"/>
              <w:widowControl/>
              <w:spacing w:before="20" w:after="20" w:line="259" w:lineRule="auto"/>
            </w:pPr>
            <w:r>
              <w:rPr>
                <w:rFonts w:ascii="Calibri" w:hAnsi="Calibri" w:eastAsia="Calibri"/>
                <w:b w:val="0"/>
                <w:sz w:val="16"/>
              </w:rPr>
              <w:t>Deterministic generated types, DTOs, schemas, permissions and API clients; never manually edited.</w:t>
            </w:r>
          </w:p>
        </w:tc>
      </w:tr>
      <w:tr>
        <w:trPr/>
        <w:tc>
          <w:tcPr>
            <w:tcW w:type="dxa" w:w="19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60" w:type="dxa"/>
              <w:bottom w:w="60" w:type="dxa"/>
              <w:start w:w="120" w:type="dxa"/>
              <w:end w:w="120" w:type="dxa"/>
            </w:tcMar>
          </w:tcPr>
          <w:p>
            <w:pPr>
              <w:keepNext w:val="0"/>
              <w:keepLines w:val="0"/>
              <w:widowControl/>
              <w:spacing w:before="20" w:after="20" w:line="259" w:lineRule="auto"/>
            </w:pPr>
            <w:r>
              <w:rPr>
                <w:rFonts w:ascii="Calibri" w:hAnsi="Calibri" w:eastAsia="Calibri"/>
                <w:b/>
                <w:sz w:val="16"/>
              </w:rPr>
              <w:t>tests/golden/</w:t>
            </w:r>
          </w:p>
        </w:tc>
        <w:tc>
          <w:tcPr>
            <w:tcW w:type="dxa" w:w="746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60" w:type="dxa"/>
              <w:bottom w:w="60" w:type="dxa"/>
              <w:start w:w="120" w:type="dxa"/>
              <w:end w:w="120" w:type="dxa"/>
            </w:tcMar>
          </w:tcPr>
          <w:p>
            <w:pPr>
              <w:keepNext w:val="0"/>
              <w:keepLines w:val="0"/>
              <w:widowControl/>
              <w:spacing w:before="20" w:after="20" w:line="259" w:lineRule="auto"/>
            </w:pPr>
            <w:r>
              <w:rPr>
                <w:rFonts w:ascii="Calibri" w:hAnsi="Calibri" w:eastAsia="Calibri"/>
                <w:b w:val="0"/>
                <w:sz w:val="16"/>
              </w:rPr>
              <w:t>Reference scenarios proving core behaviour across multiple generated projects.</w:t>
            </w:r>
          </w:p>
        </w:tc>
      </w:tr>
    </w:tbl>
    <w:p>
      <w:pPr>
        <w:keepNext w:val="0"/>
        <w:keepLines w:val="0"/>
        <w:widowControl/>
        <w:spacing w:before="0" w:after="40" w:line="264" w:lineRule="auto"/>
        <w:jc w:val="left"/>
      </w:pPr>
      <w:r>
        <w:rPr>
          <w:rFonts w:ascii="Calibri" w:hAnsi="Calibri" w:eastAsia="Calibri"/>
          <w:b w:val="0"/>
          <w:i w:val="0"/>
          <w:color w:val="172033"/>
          <w:sz w:val="22"/>
        </w:rPr>
      </w:r>
    </w:p>
    <w:p>
      <w:pPr>
        <w:pStyle w:val="Heading1"/>
        <w:keepNext/>
      </w:pPr>
      <w:r>
        <w:t>3. Architecture and technology baseline</w:t>
      </w:r>
    </w:p>
    <w:p>
      <w:pPr>
        <w:keepNext w:val="0"/>
        <w:keepLines w:val="0"/>
        <w:widowControl/>
        <w:spacing w:before="0" w:after="120" w:line="264" w:lineRule="auto"/>
        <w:jc w:val="left"/>
      </w:pPr>
      <w:r>
        <w:rPr>
          <w:rFonts w:ascii="Calibri" w:hAnsi="Calibri" w:eastAsia="Calibri"/>
          <w:b w:val="0"/>
          <w:i w:val="0"/>
          <w:color w:val="172033"/>
          <w:sz w:val="22"/>
        </w:rPr>
        <w:t>The implementation shall begin as a modular monolith. Modules communicate through explicit service interfaces and domain events. Components may be extracted later only when measured scale or isolation requirements justify it.</w:t>
      </w:r>
    </w:p>
    <w:tbl>
      <w:tblPr>
        <w:tblStyle w:val="TableGrid"/>
        <w:tblW w:type="dxa" w:w="9360"/>
        <w:jc w:val="left"/>
        <w:tblLayout w:type="fixed"/>
        <w:tblLook w:firstColumn="1" w:firstRow="1" w:lastColumn="0" w:lastRow="0" w:noHBand="0" w:noVBand="1" w:val="04A0"/>
        <w:tblInd w:type="dxa" w:w="120"/>
      </w:tblPr>
      <w:tblGrid>
        <w:gridCol w:w="1700"/>
        <w:gridCol w:w="2900"/>
        <w:gridCol w:w="4760"/>
      </w:tblGrid>
      <w:tr>
        <w:trPr>
          <w:tblHeader w:val="true"/>
        </w:trPr>
        <w:tc>
          <w:tcPr>
            <w:tcW w:type="dxa" w:w="1700"/>
            <w:shd w:fill="0B2545"/>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40" w:lineRule="auto"/>
            </w:pPr>
            <w:r>
              <w:rPr>
                <w:rFonts w:ascii="Calibri" w:hAnsi="Calibri" w:eastAsia="Calibri"/>
                <w:b/>
                <w:color w:val="FFFFFF"/>
                <w:sz w:val="18"/>
              </w:rPr>
              <w:t>Layer</w:t>
            </w:r>
          </w:p>
        </w:tc>
        <w:tc>
          <w:tcPr>
            <w:tcW w:type="dxa" w:w="2900"/>
            <w:shd w:fill="0B2545"/>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40" w:lineRule="auto"/>
            </w:pPr>
            <w:r>
              <w:rPr>
                <w:rFonts w:ascii="Calibri" w:hAnsi="Calibri" w:eastAsia="Calibri"/>
                <w:b/>
                <w:color w:val="FFFFFF"/>
                <w:sz w:val="18"/>
              </w:rPr>
              <w:t>Required technology</w:t>
            </w:r>
          </w:p>
        </w:tc>
        <w:tc>
          <w:tcPr>
            <w:tcW w:type="dxa" w:w="4760"/>
            <w:shd w:fill="0B2545"/>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40" w:lineRule="auto"/>
            </w:pPr>
            <w:r>
              <w:rPr>
                <w:rFonts w:ascii="Calibri" w:hAnsi="Calibri" w:eastAsia="Calibri"/>
                <w:b/>
                <w:color w:val="FFFFFF"/>
                <w:sz w:val="18"/>
              </w:rPr>
              <w:t>Responsibility</w:t>
            </w:r>
          </w:p>
        </w:tc>
      </w:tr>
      <w:tr>
        <w:trPr/>
        <w:tc>
          <w:tcPr>
            <w:tcW w:type="dxa" w:w="17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7"/>
              </w:rPr>
              <w:t>API runtime</w:t>
            </w:r>
          </w:p>
        </w:tc>
        <w:tc>
          <w:tcPr>
            <w:tcW w:type="dxa" w:w="29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7"/>
              </w:rPr>
              <w:t>NestJS on a supported Node.js LTS release</w:t>
            </w:r>
          </w:p>
        </w:tc>
        <w:tc>
          <w:tcPr>
            <w:tcW w:type="dxa" w:w="476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7"/>
              </w:rPr>
              <w:t>REST endpoints, guards, validation, orchestration and OpenAPI</w:t>
            </w:r>
          </w:p>
        </w:tc>
      </w:tr>
      <w:tr>
        <w:trPr/>
        <w:tc>
          <w:tcPr>
            <w:tcW w:type="dxa" w:w="17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7"/>
              </w:rPr>
              <w:t>Data access</w:t>
            </w:r>
          </w:p>
        </w:tc>
        <w:tc>
          <w:tcPr>
            <w:tcW w:type="dxa" w:w="29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7"/>
              </w:rPr>
              <w:t>MongoDB replica set with Mongoose or official driver behind repositories</w:t>
            </w:r>
          </w:p>
        </w:tc>
        <w:tc>
          <w:tcPr>
            <w:tcW w:type="dxa" w:w="476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7"/>
              </w:rPr>
              <w:t>Tenant-isolated persistence, transactions and indexes</w:t>
            </w:r>
          </w:p>
        </w:tc>
      </w:tr>
      <w:tr>
        <w:trPr/>
        <w:tc>
          <w:tcPr>
            <w:tcW w:type="dxa" w:w="17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7"/>
              </w:rPr>
              <w:t>Cache and jobs</w:t>
            </w:r>
          </w:p>
        </w:tc>
        <w:tc>
          <w:tcPr>
            <w:tcW w:type="dxa" w:w="29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7"/>
              </w:rPr>
              <w:t>Redis + BullMQ</w:t>
            </w:r>
          </w:p>
        </w:tc>
        <w:tc>
          <w:tcPr>
            <w:tcW w:type="dxa" w:w="476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7"/>
              </w:rPr>
              <w:t>Caching, delayed work, retries, schedules and worker execution</w:t>
            </w:r>
          </w:p>
        </w:tc>
      </w:tr>
      <w:tr>
        <w:trPr/>
        <w:tc>
          <w:tcPr>
            <w:tcW w:type="dxa" w:w="17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7"/>
              </w:rPr>
              <w:t>Object storage</w:t>
            </w:r>
          </w:p>
        </w:tc>
        <w:tc>
          <w:tcPr>
            <w:tcW w:type="dxa" w:w="29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7"/>
              </w:rPr>
              <w:t>S3-compatible storage</w:t>
            </w:r>
          </w:p>
        </w:tc>
        <w:tc>
          <w:tcPr>
            <w:tcW w:type="dxa" w:w="476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7"/>
              </w:rPr>
              <w:t>Files, exports, report artifacts and optional audit archives</w:t>
            </w:r>
          </w:p>
        </w:tc>
      </w:tr>
      <w:tr>
        <w:trPr/>
        <w:tc>
          <w:tcPr>
            <w:tcW w:type="dxa" w:w="17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7"/>
              </w:rPr>
              <w:t>Payments</w:t>
            </w:r>
          </w:p>
        </w:tc>
        <w:tc>
          <w:tcPr>
            <w:tcW w:type="dxa" w:w="29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7"/>
              </w:rPr>
              <w:t>Razorpay adapter</w:t>
            </w:r>
          </w:p>
        </w:tc>
        <w:tc>
          <w:tcPr>
            <w:tcW w:type="dxa" w:w="476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7"/>
              </w:rPr>
              <w:t>Orders, captures, signatures, webhooks, refunds and reconciliation</w:t>
            </w:r>
          </w:p>
        </w:tc>
      </w:tr>
      <w:tr>
        <w:trPr/>
        <w:tc>
          <w:tcPr>
            <w:tcW w:type="dxa" w:w="17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7"/>
              </w:rPr>
              <w:t>Communication</w:t>
            </w:r>
          </w:p>
        </w:tc>
        <w:tc>
          <w:tcPr>
            <w:tcW w:type="dxa" w:w="29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7"/>
              </w:rPr>
              <w:t>Provider interfaces with mock defaults</w:t>
            </w:r>
          </w:p>
        </w:tc>
        <w:tc>
          <w:tcPr>
            <w:tcW w:type="dxa" w:w="476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7"/>
              </w:rPr>
              <w:t>Email, SMS, push and in-app delivery</w:t>
            </w:r>
          </w:p>
        </w:tc>
      </w:tr>
      <w:tr>
        <w:trPr/>
        <w:tc>
          <w:tcPr>
            <w:tcW w:type="dxa" w:w="17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7"/>
              </w:rPr>
              <w:t>API contracts</w:t>
            </w:r>
          </w:p>
        </w:tc>
        <w:tc>
          <w:tcPr>
            <w:tcW w:type="dxa" w:w="29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7"/>
              </w:rPr>
              <w:t>REST + OpenAPI 3</w:t>
            </w:r>
          </w:p>
        </w:tc>
        <w:tc>
          <w:tcPr>
            <w:tcW w:type="dxa" w:w="476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7"/>
              </w:rPr>
              <w:t>Stable, documented and versioned client integration</w:t>
            </w:r>
          </w:p>
        </w:tc>
      </w:tr>
      <w:tr>
        <w:trPr/>
        <w:tc>
          <w:tcPr>
            <w:tcW w:type="dxa" w:w="17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7"/>
              </w:rPr>
              <w:t>Packaging</w:t>
            </w:r>
          </w:p>
        </w:tc>
        <w:tc>
          <w:tcPr>
            <w:tcW w:type="dxa" w:w="29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7"/>
              </w:rPr>
              <w:t>Docker Compose; container-ready images</w:t>
            </w:r>
          </w:p>
        </w:tc>
        <w:tc>
          <w:tcPr>
            <w:tcW w:type="dxa" w:w="476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7"/>
              </w:rPr>
              <w:t>One-command local environment and deployment portability</w:t>
            </w:r>
          </w:p>
        </w:tc>
      </w:tr>
      <w:tr>
        <w:trPr/>
        <w:tc>
          <w:tcPr>
            <w:tcW w:type="dxa" w:w="17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7"/>
              </w:rPr>
              <w:t>Testing</w:t>
            </w:r>
          </w:p>
        </w:tc>
        <w:tc>
          <w:tcPr>
            <w:tcW w:type="dxa" w:w="29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7"/>
              </w:rPr>
              <w:t>Jest, Supertest and Testcontainers</w:t>
            </w:r>
          </w:p>
        </w:tc>
        <w:tc>
          <w:tcPr>
            <w:tcW w:type="dxa" w:w="476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7"/>
              </w:rPr>
              <w:t>Unit, API, integration, isolation and failure-path tests</w:t>
            </w:r>
          </w:p>
        </w:tc>
      </w:tr>
      <w:tr>
        <w:trPr/>
        <w:tc>
          <w:tcPr>
            <w:tcW w:type="dxa" w:w="17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7"/>
              </w:rPr>
              <w:t>Observability</w:t>
            </w:r>
          </w:p>
        </w:tc>
        <w:tc>
          <w:tcPr>
            <w:tcW w:type="dxa" w:w="29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7"/>
              </w:rPr>
              <w:t>OpenTelemetry-compatible logs, metrics and traces</w:t>
            </w:r>
          </w:p>
        </w:tc>
        <w:tc>
          <w:tcPr>
            <w:tcW w:type="dxa" w:w="476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7"/>
              </w:rPr>
              <w:t>Request correlation, error analysis, dashboards and alerting</w:t>
            </w:r>
          </w:p>
        </w:tc>
      </w:tr>
    </w:tbl>
    <w:p>
      <w:pPr>
        <w:keepNext w:val="0"/>
        <w:keepLines w:val="0"/>
        <w:widowControl/>
        <w:spacing w:before="0" w:after="40" w:line="264" w:lineRule="auto"/>
        <w:jc w:val="left"/>
      </w:pPr>
      <w:r>
        <w:rPr>
          <w:rFonts w:ascii="Calibri" w:hAnsi="Calibri" w:eastAsia="Calibri"/>
          <w:b w:val="0"/>
          <w:i w:val="0"/>
          <w:color w:val="172033"/>
          <w:sz w:val="22"/>
        </w:rPr>
      </w:r>
    </w:p>
    <w:tbl>
      <w:tblPr>
        <w:tblW w:type="dxa" w:w="9360"/>
        <w:jc w:val="left"/>
        <w:tblLayout w:type="fixed"/>
        <w:tblLook w:firstColumn="1" w:firstRow="1" w:lastColumn="0" w:lastRow="0" w:noHBand="0" w:noVBand="1" w:val="04A0"/>
        <w:tblInd w:type="dxa" w:w="120"/>
      </w:tblPr>
      <w:tblGrid>
        <w:gridCol w:w="9360"/>
      </w:tblGrid>
      <w:tr>
        <w:trPr/>
        <w:tc>
          <w:tcPr>
            <w:tcW w:type="dxa" w:w="9360"/>
            <w:shd w:fill="FFF4D6"/>
            <w:tcBorders>
              <w:top w:val="single" w:sz="8" w:color="00A6C8"/>
              <w:left w:val="single" w:sz="8" w:color="00A6C8"/>
              <w:bottom w:val="single" w:sz="8" w:color="00A6C8"/>
              <w:right w:val="single" w:sz="8" w:color="00A6C8"/>
              <w:insideH w:val="single" w:sz="8" w:color="00A6C8"/>
              <w:insideV w:val="single" w:sz="8" w:color="00A6C8"/>
            </w:tcBorders>
            <w:tcMar>
              <w:top w:w="100" w:type="dxa"/>
              <w:bottom w:w="100" w:type="dxa"/>
              <w:start w:w="120" w:type="dxa"/>
              <w:end w:w="120" w:type="dxa"/>
            </w:tcMar>
          </w:tcPr>
          <w:p>
            <w:pPr>
              <w:keepNext w:val="0"/>
              <w:keepLines w:val="0"/>
              <w:widowControl/>
              <w:spacing w:before="40" w:after="40" w:line="264" w:lineRule="auto"/>
            </w:pPr>
            <w:r>
              <w:rPr>
                <w:rFonts w:ascii="Calibri" w:hAnsi="Calibri" w:eastAsia="Calibri"/>
                <w:b/>
                <w:color w:val="0B2545"/>
              </w:rPr>
              <w:t xml:space="preserve">MongoDB tenancy decision: </w:t>
            </w:r>
            <w:r>
              <w:rPr>
                <w:rFonts w:ascii="Calibri" w:hAnsi="Calibri" w:eastAsia="Calibri"/>
                <w:color w:val="172033"/>
              </w:rPr>
              <w:t>MongoDB has no PostgreSQL-style row-level security. Tenant isolation shall therefore be enforced through mandatory tenant context, tenant-aware repositories, compound indexes, guarded cross-tenant operations and automated isolation tests. Direct collection access from controllers is prohibited.</w:t>
            </w:r>
          </w:p>
        </w:tc>
      </w:tr>
    </w:tbl>
    <w:p>
      <w:pPr>
        <w:keepNext w:val="0"/>
        <w:keepLines w:val="0"/>
        <w:widowControl/>
        <w:spacing w:before="0" w:after="40" w:line="264" w:lineRule="auto"/>
        <w:jc w:val="left"/>
      </w:pPr>
      <w:r>
        <w:rPr>
          <w:rFonts w:ascii="Calibri" w:hAnsi="Calibri" w:eastAsia="Calibri"/>
          <w:b w:val="0"/>
          <w:i w:val="0"/>
          <w:color w:val="172033"/>
          <w:sz w:val="22"/>
        </w:rPr>
      </w:r>
    </w:p>
    <w:p>
      <w:pPr>
        <w:pStyle w:val="Heading2"/>
        <w:keepNext/>
      </w:pPr>
      <w:r>
        <w:t>3.1 Runtime applications</w:t>
      </w:r>
    </w:p>
    <w:p>
      <w:pPr>
        <w:keepNext w:val="0"/>
        <w:keepLines w:val="0"/>
        <w:widowControl/>
        <w:numPr>
          <w:ilvl w:val="0"/>
          <w:numId w:val="10"/>
        </w:numPr>
        <w:spacing w:before="0" w:after="160" w:line="280" w:lineRule="auto"/>
      </w:pPr>
      <w:r>
        <w:rPr>
          <w:rFonts w:ascii="Calibri" w:hAnsi="Calibri" w:eastAsia="Calibri"/>
        </w:rPr>
        <w:t>api: synchronous HTTP APIs, authentication, validation and immediate business operations.</w:t>
      </w:r>
    </w:p>
    <w:p>
      <w:pPr>
        <w:keepNext w:val="0"/>
        <w:keepLines w:val="0"/>
        <w:widowControl/>
        <w:numPr>
          <w:ilvl w:val="0"/>
          <w:numId w:val="10"/>
        </w:numPr>
        <w:spacing w:before="0" w:after="160" w:line="280" w:lineRule="auto"/>
      </w:pPr>
      <w:r>
        <w:rPr>
          <w:rFonts w:ascii="Calibri" w:hAnsi="Calibri" w:eastAsia="Calibri"/>
        </w:rPr>
        <w:t>worker: BullMQ consumers for communication, exports, billing jobs, webhook processing and cleanup.</w:t>
      </w:r>
    </w:p>
    <w:p>
      <w:pPr>
        <w:keepNext w:val="0"/>
        <w:keepLines w:val="0"/>
        <w:widowControl/>
        <w:numPr>
          <w:ilvl w:val="0"/>
          <w:numId w:val="10"/>
        </w:numPr>
        <w:spacing w:before="0" w:after="160" w:line="280" w:lineRule="auto"/>
      </w:pPr>
      <w:r>
        <w:rPr>
          <w:rFonts w:ascii="Calibri" w:hAnsi="Calibri" w:eastAsia="Calibri"/>
        </w:rPr>
        <w:t>scheduler: repeatable jobs registered through BullMQ; may run inside the worker for small deployments.</w:t>
      </w:r>
    </w:p>
    <w:p>
      <w:pPr>
        <w:keepNext w:val="0"/>
        <w:keepLines w:val="0"/>
        <w:widowControl/>
        <w:numPr>
          <w:ilvl w:val="0"/>
          <w:numId w:val="10"/>
        </w:numPr>
        <w:spacing w:before="0" w:after="160" w:line="280" w:lineRule="auto"/>
      </w:pPr>
      <w:r>
        <w:rPr>
          <w:rFonts w:ascii="Calibri" w:hAnsi="Calibri" w:eastAsia="Calibri"/>
        </w:rPr>
        <w:t>migration/seed CLI: idempotent schema/index migrations, configuration bootstrapping and demo data.</w:t>
      </w:r>
    </w:p>
    <w:p>
      <w:pPr>
        <w:pStyle w:val="Heading1"/>
        <w:keepNext/>
      </w:pPr>
      <w:r>
        <w:t>4. Cross-cutting backend standards</w:t>
      </w:r>
    </w:p>
    <w:p>
      <w:pPr>
        <w:keepNext/>
        <w:keepLines/>
        <w:widowControl/>
        <w:spacing w:before="40" w:after="40" w:line="264" w:lineRule="auto"/>
      </w:pPr>
      <w:r>
        <w:rPr>
          <w:rFonts w:ascii="Calibri" w:hAnsi="Calibri" w:eastAsia="Calibri"/>
          <w:b/>
          <w:color w:val="245986"/>
        </w:rPr>
        <w:t xml:space="preserve">CORE-001  </w:t>
      </w:r>
      <w:r>
        <w:rPr>
          <w:rFonts w:ascii="Calibri" w:hAnsi="Calibri" w:eastAsia="Calibri"/>
        </w:rPr>
        <w:t>Every request shall receive a correlation/request ID that is propagated to logs, jobs, integrations and audit events.</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A request can be traced across API, queue and provider logs using one identifier.</w:t>
      </w:r>
    </w:p>
    <w:p>
      <w:pPr>
        <w:keepNext/>
        <w:keepLines/>
        <w:widowControl/>
        <w:spacing w:before="40" w:after="40" w:line="264" w:lineRule="auto"/>
      </w:pPr>
      <w:r>
        <w:rPr>
          <w:rFonts w:ascii="Calibri" w:hAnsi="Calibri" w:eastAsia="Calibri"/>
          <w:b/>
          <w:color w:val="245986"/>
        </w:rPr>
        <w:t xml:space="preserve">CORE-002  </w:t>
      </w:r>
      <w:r>
        <w:rPr>
          <w:rFonts w:ascii="Calibri" w:hAnsi="Calibri" w:eastAsia="Calibri"/>
        </w:rPr>
        <w:t>All tenant-owned operations shall require a resolved tenant context before repository access.</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Requests without valid tenant context are rejected; cross-tenant tests pass.</w:t>
      </w:r>
    </w:p>
    <w:p>
      <w:pPr>
        <w:keepNext/>
        <w:keepLines/>
        <w:widowControl/>
        <w:spacing w:before="40" w:after="40" w:line="264" w:lineRule="auto"/>
      </w:pPr>
      <w:r>
        <w:rPr>
          <w:rFonts w:ascii="Calibri" w:hAnsi="Calibri" w:eastAsia="Calibri"/>
          <w:b/>
          <w:color w:val="245986"/>
        </w:rPr>
        <w:t xml:space="preserve">CORE-003  </w:t>
      </w:r>
      <w:r>
        <w:rPr>
          <w:rFonts w:ascii="Calibri" w:hAnsi="Calibri" w:eastAsia="Calibri"/>
        </w:rPr>
        <w:t>All write APIs shall support idempotency where retries can create duplicate financial, usage, notification or business effects.</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Reusing an idempotency key returns the original outcome and creates no duplicate record.</w:t>
      </w:r>
    </w:p>
    <w:p>
      <w:pPr>
        <w:keepNext/>
        <w:keepLines/>
        <w:widowControl/>
        <w:spacing w:before="40" w:after="40" w:line="264" w:lineRule="auto"/>
      </w:pPr>
      <w:r>
        <w:rPr>
          <w:rFonts w:ascii="Calibri" w:hAnsi="Calibri" w:eastAsia="Calibri"/>
          <w:b/>
          <w:color w:val="245986"/>
        </w:rPr>
        <w:t xml:space="preserve">CORE-004  </w:t>
      </w:r>
      <w:r>
        <w:rPr>
          <w:rFonts w:ascii="Calibri" w:hAnsi="Calibri" w:eastAsia="Calibri"/>
        </w:rPr>
        <w:t>All input shall be validated through DTOs and a global whitelist/transform validation pipe.</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Unknown fields are rejected and documented validation errors are returned.</w:t>
      </w:r>
    </w:p>
    <w:p>
      <w:pPr>
        <w:keepNext/>
        <w:keepLines/>
        <w:widowControl/>
        <w:spacing w:before="40" w:after="40" w:line="264" w:lineRule="auto"/>
      </w:pPr>
      <w:r>
        <w:rPr>
          <w:rFonts w:ascii="Calibri" w:hAnsi="Calibri" w:eastAsia="Calibri"/>
          <w:b/>
          <w:color w:val="245986"/>
        </w:rPr>
        <w:t xml:space="preserve">CORE-005  </w:t>
      </w:r>
      <w:r>
        <w:rPr>
          <w:rFonts w:ascii="Calibri" w:hAnsi="Calibri" w:eastAsia="Calibri"/>
        </w:rPr>
        <w:t>All errors shall use one versioned error envelope with code, message, requestId and optional field errors.</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Clients receive consistent 4xx/5xx payloads across modules.</w:t>
      </w:r>
    </w:p>
    <w:p>
      <w:pPr>
        <w:keepNext/>
        <w:keepLines/>
        <w:widowControl/>
        <w:spacing w:before="40" w:after="40" w:line="264" w:lineRule="auto"/>
      </w:pPr>
      <w:r>
        <w:rPr>
          <w:rFonts w:ascii="Calibri" w:hAnsi="Calibri" w:eastAsia="Calibri"/>
          <w:b/>
          <w:color w:val="245986"/>
        </w:rPr>
        <w:t xml:space="preserve">CORE-006  </w:t>
      </w:r>
      <w:r>
        <w:rPr>
          <w:rFonts w:ascii="Calibri" w:hAnsi="Calibri" w:eastAsia="Calibri"/>
        </w:rPr>
        <w:t>Money shall be stored as integer minor units with ISO currency code; floating-point money is prohibited.</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All billing and payment tests operate on paise/minor units without rounding drift.</w:t>
      </w:r>
    </w:p>
    <w:p>
      <w:pPr>
        <w:keepNext/>
        <w:keepLines/>
        <w:widowControl/>
        <w:spacing w:before="40" w:after="40" w:line="264" w:lineRule="auto"/>
      </w:pPr>
      <w:r>
        <w:rPr>
          <w:rFonts w:ascii="Calibri" w:hAnsi="Calibri" w:eastAsia="Calibri"/>
          <w:b/>
          <w:color w:val="245986"/>
        </w:rPr>
        <w:t xml:space="preserve">CORE-007  </w:t>
      </w:r>
      <w:r>
        <w:rPr>
          <w:rFonts w:ascii="Calibri" w:hAnsi="Calibri" w:eastAsia="Calibri"/>
        </w:rPr>
        <w:t>Timestamps shall be stored in UTC; tenant/user time zones are applied only at presentation and scheduling boundaries.</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Stored timestamps are UTC and scheduled jobs resolve the configured zone correctly.</w:t>
      </w:r>
    </w:p>
    <w:p>
      <w:pPr>
        <w:keepNext/>
        <w:keepLines/>
        <w:widowControl/>
        <w:spacing w:before="40" w:after="40" w:line="264" w:lineRule="auto"/>
      </w:pPr>
      <w:r>
        <w:rPr>
          <w:rFonts w:ascii="Calibri" w:hAnsi="Calibri" w:eastAsia="Calibri"/>
          <w:b/>
          <w:color w:val="245986"/>
        </w:rPr>
        <w:t xml:space="preserve">CORE-008  </w:t>
      </w:r>
      <w:r>
        <w:rPr>
          <w:rFonts w:ascii="Calibri" w:hAnsi="Calibri" w:eastAsia="Calibri"/>
        </w:rPr>
        <w:t>Domain writes that require asynchronous side effects shall use an outbox pattern within the same MongoDB transaction.</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A simulated worker outage does not lose the side effect; replay creates no duplicate effect.</w:t>
      </w:r>
    </w:p>
    <w:p>
      <w:pPr>
        <w:keepNext/>
        <w:keepLines/>
        <w:widowControl/>
        <w:spacing w:before="40" w:after="40" w:line="264" w:lineRule="auto"/>
      </w:pPr>
      <w:r>
        <w:rPr>
          <w:rFonts w:ascii="Calibri" w:hAnsi="Calibri" w:eastAsia="Calibri"/>
          <w:b/>
          <w:color w:val="245986"/>
        </w:rPr>
        <w:t xml:space="preserve">CORE-009  </w:t>
      </w:r>
      <w:r>
        <w:rPr>
          <w:rFonts w:ascii="Calibri" w:hAnsi="Calibri" w:eastAsia="Calibri"/>
        </w:rPr>
        <w:t>Soft deletion shall be the default for user-managed records; financial, payment and audit records shall never be hard deleted.</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Restore works where permitted; protected records cannot be deleted through public APIs.</w:t>
      </w:r>
    </w:p>
    <w:p>
      <w:pPr>
        <w:keepNext/>
        <w:keepLines/>
        <w:widowControl/>
        <w:spacing w:before="40" w:after="40" w:line="264" w:lineRule="auto"/>
      </w:pPr>
      <w:r>
        <w:rPr>
          <w:rFonts w:ascii="Calibri" w:hAnsi="Calibri" w:eastAsia="Calibri"/>
          <w:b/>
          <w:color w:val="245986"/>
        </w:rPr>
        <w:t xml:space="preserve">CORE-010  </w:t>
      </w:r>
      <w:r>
        <w:rPr>
          <w:rFonts w:ascii="Calibri" w:hAnsi="Calibri" w:eastAsia="Calibri"/>
        </w:rPr>
        <w:t>All public API and event contracts shall be versioned and backward-compatible within a supported major version.</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Contract tests detect unintended breaking changes.</w:t>
      </w:r>
    </w:p>
    <w:p>
      <w:pPr>
        <w:pStyle w:val="Heading1"/>
        <w:keepNext/>
      </w:pPr>
      <w:r>
        <w:t>5. Authentication and account security</w:t>
      </w:r>
    </w:p>
    <w:p>
      <w:pPr>
        <w:keepNext w:val="0"/>
        <w:keepLines w:val="0"/>
        <w:widowControl/>
        <w:spacing w:before="0" w:after="120" w:line="264" w:lineRule="auto"/>
        <w:jc w:val="left"/>
      </w:pPr>
      <w:r>
        <w:rPr>
          <w:rFonts w:ascii="Calibri" w:hAnsi="Calibri" w:eastAsia="Calibri"/>
          <w:b w:val="0"/>
          <w:i w:val="0"/>
          <w:color w:val="172033"/>
          <w:sz w:val="22"/>
        </w:rPr>
        <w:t>The core shall provide a self-contained account service while retaining an adapter boundary for enterprise OIDC/SSO.</w:t>
      </w:r>
    </w:p>
    <w:p>
      <w:pPr>
        <w:keepNext/>
        <w:keepLines/>
        <w:widowControl/>
        <w:spacing w:before="40" w:after="40" w:line="264" w:lineRule="auto"/>
      </w:pPr>
      <w:r>
        <w:rPr>
          <w:rFonts w:ascii="Calibri" w:hAnsi="Calibri" w:eastAsia="Calibri"/>
          <w:b/>
          <w:color w:val="245986"/>
        </w:rPr>
        <w:t xml:space="preserve">AUTH-001  </w:t>
      </w:r>
      <w:r>
        <w:rPr>
          <w:rFonts w:ascii="Calibri" w:hAnsi="Calibri" w:eastAsia="Calibri"/>
        </w:rPr>
        <w:t>Support invitation-based registration, optional self-registration, email verification, login and logout.</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Policy is selected through configuration; disabled registration paths are inaccessible.</w:t>
      </w:r>
    </w:p>
    <w:p>
      <w:pPr>
        <w:keepNext/>
        <w:keepLines/>
        <w:widowControl/>
        <w:spacing w:before="40" w:after="40" w:line="264" w:lineRule="auto"/>
      </w:pPr>
      <w:r>
        <w:rPr>
          <w:rFonts w:ascii="Calibri" w:hAnsi="Calibri" w:eastAsia="Calibri"/>
          <w:b/>
          <w:color w:val="245986"/>
        </w:rPr>
        <w:t xml:space="preserve">AUTH-002  </w:t>
      </w:r>
      <w:r>
        <w:rPr>
          <w:rFonts w:ascii="Calibri" w:hAnsi="Calibri" w:eastAsia="Calibri"/>
        </w:rPr>
        <w:t>Support forgot-password and reset-password flows using single-use, expiring tokens.</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Tokens are hashed at rest, expire, and cannot be reused.</w:t>
      </w:r>
    </w:p>
    <w:p>
      <w:pPr>
        <w:keepNext/>
        <w:keepLines/>
        <w:widowControl/>
        <w:spacing w:before="40" w:after="40" w:line="264" w:lineRule="auto"/>
      </w:pPr>
      <w:r>
        <w:rPr>
          <w:rFonts w:ascii="Calibri" w:hAnsi="Calibri" w:eastAsia="Calibri"/>
          <w:b/>
          <w:color w:val="245986"/>
        </w:rPr>
        <w:t xml:space="preserve">AUTH-003  </w:t>
      </w:r>
      <w:r>
        <w:rPr>
          <w:rFonts w:ascii="Calibri" w:hAnsi="Calibri" w:eastAsia="Calibri"/>
        </w:rPr>
        <w:t>Hash passwords using Argon2id with centrally configured parameters and prevent password reuse where policy requires.</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No plaintext/reversible password exists in storage or logs.</w:t>
      </w:r>
    </w:p>
    <w:p>
      <w:pPr>
        <w:keepNext/>
        <w:keepLines/>
        <w:widowControl/>
        <w:spacing w:before="40" w:after="40" w:line="264" w:lineRule="auto"/>
      </w:pPr>
      <w:r>
        <w:rPr>
          <w:rFonts w:ascii="Calibri" w:hAnsi="Calibri" w:eastAsia="Calibri"/>
          <w:b/>
          <w:color w:val="245986"/>
        </w:rPr>
        <w:t xml:space="preserve">AUTH-004  </w:t>
      </w:r>
      <w:r>
        <w:rPr>
          <w:rFonts w:ascii="Calibri" w:hAnsi="Calibri" w:eastAsia="Calibri"/>
        </w:rPr>
        <w:t>Issue short-lived access tokens and rotating refresh tokens. Store only hashed refresh-token identifiers.</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Refresh-token reuse revokes the token family and records a security event.</w:t>
      </w:r>
    </w:p>
    <w:p>
      <w:pPr>
        <w:keepNext/>
        <w:keepLines/>
        <w:widowControl/>
        <w:spacing w:before="40" w:after="40" w:line="264" w:lineRule="auto"/>
      </w:pPr>
      <w:r>
        <w:rPr>
          <w:rFonts w:ascii="Calibri" w:hAnsi="Calibri" w:eastAsia="Calibri"/>
          <w:b/>
          <w:color w:val="245986"/>
        </w:rPr>
        <w:t xml:space="preserve">AUTH-005  </w:t>
      </w:r>
      <w:r>
        <w:rPr>
          <w:rFonts w:ascii="Calibri" w:hAnsi="Calibri" w:eastAsia="Calibri"/>
        </w:rPr>
        <w:t>Support TOTP MFA and recovery codes for privileged or configured roles.</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MFA policy is enforced before privileged sessions are issued.</w:t>
      </w:r>
    </w:p>
    <w:p>
      <w:pPr>
        <w:keepNext/>
        <w:keepLines/>
        <w:widowControl/>
        <w:spacing w:before="40" w:after="40" w:line="264" w:lineRule="auto"/>
      </w:pPr>
      <w:r>
        <w:rPr>
          <w:rFonts w:ascii="Calibri" w:hAnsi="Calibri" w:eastAsia="Calibri"/>
          <w:b/>
          <w:color w:val="245986"/>
        </w:rPr>
        <w:t xml:space="preserve">AUTH-006  </w:t>
      </w:r>
      <w:r>
        <w:rPr>
          <w:rFonts w:ascii="Calibri" w:hAnsi="Calibri" w:eastAsia="Calibri"/>
        </w:rPr>
        <w:t>Support pluggable OIDC/social-login providers without embedding provider logic in account services.</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A mock provider and at least one OIDC provider pass the same contract tests.</w:t>
      </w:r>
    </w:p>
    <w:p>
      <w:pPr>
        <w:keepNext/>
        <w:keepLines/>
        <w:widowControl/>
        <w:spacing w:before="40" w:after="40" w:line="264" w:lineRule="auto"/>
      </w:pPr>
      <w:r>
        <w:rPr>
          <w:rFonts w:ascii="Calibri" w:hAnsi="Calibri" w:eastAsia="Calibri"/>
          <w:b/>
          <w:color w:val="245986"/>
        </w:rPr>
        <w:t xml:space="preserve">AUTH-007  </w:t>
      </w:r>
      <w:r>
        <w:rPr>
          <w:rFonts w:ascii="Calibri" w:hAnsi="Calibri" w:eastAsia="Calibri"/>
        </w:rPr>
        <w:t>Maintain user sessions and device history with list, revoke-one and revoke-all operations.</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A revoked session cannot refresh or access protected endpoints.</w:t>
      </w:r>
    </w:p>
    <w:p>
      <w:pPr>
        <w:keepNext/>
        <w:keepLines/>
        <w:widowControl/>
        <w:spacing w:before="40" w:after="40" w:line="264" w:lineRule="auto"/>
      </w:pPr>
      <w:r>
        <w:rPr>
          <w:rFonts w:ascii="Calibri" w:hAnsi="Calibri" w:eastAsia="Calibri"/>
          <w:b/>
          <w:color w:val="245986"/>
        </w:rPr>
        <w:t xml:space="preserve">AUTH-008  </w:t>
      </w:r>
      <w:r>
        <w:rPr>
          <w:rFonts w:ascii="Calibri" w:hAnsi="Calibri" w:eastAsia="Calibri"/>
        </w:rPr>
        <w:t>Apply configurable login throttling, lockout and suspicious-attempt logging.</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Brute-force test triggers throttling without disclosing whether an account exists.</w:t>
      </w:r>
    </w:p>
    <w:p>
      <w:pPr>
        <w:keepNext/>
        <w:keepLines/>
        <w:widowControl/>
        <w:spacing w:before="40" w:after="40" w:line="264" w:lineRule="auto"/>
      </w:pPr>
      <w:r>
        <w:rPr>
          <w:rFonts w:ascii="Calibri" w:hAnsi="Calibri" w:eastAsia="Calibri"/>
          <w:b/>
          <w:color w:val="245986"/>
        </w:rPr>
        <w:t xml:space="preserve">AUTH-009  </w:t>
      </w:r>
      <w:r>
        <w:rPr>
          <w:rFonts w:ascii="Calibri" w:hAnsi="Calibri" w:eastAsia="Calibri"/>
        </w:rPr>
        <w:t>Support account active, invited, suspended, locked and archived states.</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Suspended/archived accounts cannot obtain or refresh sessions.</w:t>
      </w:r>
    </w:p>
    <w:p>
      <w:pPr>
        <w:pStyle w:val="Heading1"/>
        <w:keepNext/>
      </w:pPr>
      <w:r>
        <w:t>6. Tenancy, organizations and branches</w:t>
      </w:r>
    </w:p>
    <w:p>
      <w:pPr>
        <w:keepNext/>
        <w:keepLines/>
        <w:widowControl/>
        <w:spacing w:before="40" w:after="40" w:line="264" w:lineRule="auto"/>
      </w:pPr>
      <w:r>
        <w:rPr>
          <w:rFonts w:ascii="Calibri" w:hAnsi="Calibri" w:eastAsia="Calibri"/>
          <w:b/>
          <w:color w:val="245986"/>
        </w:rPr>
        <w:t xml:space="preserve">TEN-001  </w:t>
      </w:r>
      <w:r>
        <w:rPr>
          <w:rFonts w:ascii="Calibri" w:hAnsi="Calibri" w:eastAsia="Calibri"/>
        </w:rPr>
        <w:t>Every SaaS deployment shall contain a platform context and at least one tenant, including single-client deployments.</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Single-tenant projects use one hidden default tenant without bypassing tenant checks.</w:t>
      </w:r>
    </w:p>
    <w:p>
      <w:pPr>
        <w:keepNext/>
        <w:keepLines/>
        <w:widowControl/>
        <w:spacing w:before="40" w:after="40" w:line="264" w:lineRule="auto"/>
      </w:pPr>
      <w:r>
        <w:rPr>
          <w:rFonts w:ascii="Calibri" w:hAnsi="Calibri" w:eastAsia="Calibri"/>
          <w:b/>
          <w:color w:val="245986"/>
        </w:rPr>
        <w:t xml:space="preserve">TEN-002  </w:t>
      </w:r>
      <w:r>
        <w:rPr>
          <w:rFonts w:ascii="Calibri" w:hAnsi="Calibri" w:eastAsia="Calibri"/>
        </w:rPr>
        <w:t>Support configurable organization levels such as tenant, subsidiary, department and branch.</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A project configuration defines allowed levels and parent-child rules.</w:t>
      </w:r>
    </w:p>
    <w:p>
      <w:pPr>
        <w:keepNext/>
        <w:keepLines/>
        <w:widowControl/>
        <w:spacing w:before="40" w:after="40" w:line="264" w:lineRule="auto"/>
      </w:pPr>
      <w:r>
        <w:rPr>
          <w:rFonts w:ascii="Calibri" w:hAnsi="Calibri" w:eastAsia="Calibri"/>
          <w:b/>
          <w:color w:val="245986"/>
        </w:rPr>
        <w:t xml:space="preserve">TEN-003  </w:t>
      </w:r>
      <w:r>
        <w:rPr>
          <w:rFonts w:ascii="Calibri" w:hAnsi="Calibri" w:eastAsia="Calibri"/>
        </w:rPr>
        <w:t>Attach tenantId to every tenant-owned document and organizationUnitId where sub-scope is required.</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Schema and repository audits identify no tenant-owned collection without tenantId.</w:t>
      </w:r>
    </w:p>
    <w:p>
      <w:pPr>
        <w:keepNext/>
        <w:keepLines/>
        <w:widowControl/>
        <w:spacing w:before="40" w:after="40" w:line="264" w:lineRule="auto"/>
      </w:pPr>
      <w:r>
        <w:rPr>
          <w:rFonts w:ascii="Calibri" w:hAnsi="Calibri" w:eastAsia="Calibri"/>
          <w:b/>
          <w:color w:val="245986"/>
        </w:rPr>
        <w:t xml:space="preserve">TEN-004  </w:t>
      </w:r>
      <w:r>
        <w:rPr>
          <w:rFonts w:ascii="Calibri" w:hAnsi="Calibri" w:eastAsia="Calibri"/>
        </w:rPr>
        <w:t>Resolve tenant context from authenticated membership, API key or trusted webhook route; never accept an unrestricted tenantId from request bodies.</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Attempted tenant substitution is rejected.</w:t>
      </w:r>
    </w:p>
    <w:p>
      <w:pPr>
        <w:keepNext/>
        <w:keepLines/>
        <w:widowControl/>
        <w:spacing w:before="40" w:after="40" w:line="264" w:lineRule="auto"/>
      </w:pPr>
      <w:r>
        <w:rPr>
          <w:rFonts w:ascii="Calibri" w:hAnsi="Calibri" w:eastAsia="Calibri"/>
          <w:b/>
          <w:color w:val="245986"/>
        </w:rPr>
        <w:t xml:space="preserve">TEN-005  </w:t>
      </w:r>
      <w:r>
        <w:rPr>
          <w:rFonts w:ascii="Calibri" w:hAnsi="Calibri" w:eastAsia="Calibri"/>
        </w:rPr>
        <w:t>Support users belonging to multiple tenants/organizations with explicit membership and role assignments.</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Users can switch only to organizations with active membership.</w:t>
      </w:r>
    </w:p>
    <w:p>
      <w:pPr>
        <w:keepNext/>
        <w:keepLines/>
        <w:widowControl/>
        <w:spacing w:before="40" w:after="40" w:line="264" w:lineRule="auto"/>
      </w:pPr>
      <w:r>
        <w:rPr>
          <w:rFonts w:ascii="Calibri" w:hAnsi="Calibri" w:eastAsia="Calibri"/>
          <w:b/>
          <w:color w:val="245986"/>
        </w:rPr>
        <w:t xml:space="preserve">TEN-006  </w:t>
      </w:r>
      <w:r>
        <w:rPr>
          <w:rFonts w:ascii="Calibri" w:hAnsi="Calibri" w:eastAsia="Calibri"/>
        </w:rPr>
        <w:t>Support tenant activation, suspension and archival.</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Suspension blocks tenant traffic except platform administration and defined recovery endpoints.</w:t>
      </w:r>
    </w:p>
    <w:p>
      <w:pPr>
        <w:keepNext/>
        <w:keepLines/>
        <w:widowControl/>
        <w:spacing w:before="40" w:after="40" w:line="264" w:lineRule="auto"/>
      </w:pPr>
      <w:r>
        <w:rPr>
          <w:rFonts w:ascii="Calibri" w:hAnsi="Calibri" w:eastAsia="Calibri"/>
          <w:b/>
          <w:color w:val="245986"/>
        </w:rPr>
        <w:t xml:space="preserve">TEN-007  </w:t>
      </w:r>
      <w:r>
        <w:rPr>
          <w:rFonts w:ascii="Calibri" w:hAnsi="Calibri" w:eastAsia="Calibri"/>
        </w:rPr>
        <w:t>Support tenant-specific settings, branding references, limits and provider configuration.</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Tenant configuration is isolated and overrides approved platform defaults.</w:t>
      </w:r>
    </w:p>
    <w:p>
      <w:pPr>
        <w:keepNext/>
        <w:keepLines/>
        <w:widowControl/>
        <w:spacing w:before="40" w:after="40" w:line="264" w:lineRule="auto"/>
      </w:pPr>
      <w:r>
        <w:rPr>
          <w:rFonts w:ascii="Calibri" w:hAnsi="Calibri" w:eastAsia="Calibri"/>
          <w:b/>
          <w:color w:val="245986"/>
        </w:rPr>
        <w:t xml:space="preserve">TEN-008  </w:t>
      </w:r>
      <w:r>
        <w:rPr>
          <w:rFonts w:ascii="Calibri" w:hAnsi="Calibri" w:eastAsia="Calibri"/>
        </w:rPr>
        <w:t>Provide an explicit, audited support-access mechanism for platform operators.</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Support access is time-bound, reasoned, permissioned and recorded.</w:t>
      </w:r>
    </w:p>
    <w:p>
      <w:pPr>
        <w:pStyle w:val="Heading1"/>
        <w:keepNext/>
      </w:pPr>
      <w:r>
        <w:t>7. Users, teams and memberships</w:t>
      </w:r>
    </w:p>
    <w:p>
      <w:pPr>
        <w:keepNext/>
        <w:keepLines/>
        <w:widowControl/>
        <w:spacing w:before="40" w:after="40" w:line="264" w:lineRule="auto"/>
      </w:pPr>
      <w:r>
        <w:rPr>
          <w:rFonts w:ascii="Calibri" w:hAnsi="Calibri" w:eastAsia="Calibri"/>
          <w:b/>
          <w:color w:val="245986"/>
        </w:rPr>
        <w:t xml:space="preserve">USR-001  </w:t>
      </w:r>
      <w:r>
        <w:rPr>
          <w:rFonts w:ascii="Calibri" w:hAnsi="Calibri" w:eastAsia="Calibri"/>
        </w:rPr>
        <w:t>Provide create, invite, view, update, suspend, reactivate and archive operations for users.</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Lifecycle actions require permissions and emit audit events.</w:t>
      </w:r>
    </w:p>
    <w:p>
      <w:pPr>
        <w:keepNext/>
        <w:keepLines/>
        <w:widowControl/>
        <w:spacing w:before="40" w:after="40" w:line="264" w:lineRule="auto"/>
      </w:pPr>
      <w:r>
        <w:rPr>
          <w:rFonts w:ascii="Calibri" w:hAnsi="Calibri" w:eastAsia="Calibri"/>
          <w:b/>
          <w:color w:val="245986"/>
        </w:rPr>
        <w:t xml:space="preserve">USR-002  </w:t>
      </w:r>
      <w:r>
        <w:rPr>
          <w:rFonts w:ascii="Calibri" w:hAnsi="Calibri" w:eastAsia="Calibri"/>
        </w:rPr>
        <w:t>Provide membership assignment to tenant and organization units with effective dates and status.</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Removing a membership immediately removes its access after cache invalidation.</w:t>
      </w:r>
    </w:p>
    <w:p>
      <w:pPr>
        <w:keepNext/>
        <w:keepLines/>
        <w:widowControl/>
        <w:spacing w:before="40" w:after="40" w:line="264" w:lineRule="auto"/>
      </w:pPr>
      <w:r>
        <w:rPr>
          <w:rFonts w:ascii="Calibri" w:hAnsi="Calibri" w:eastAsia="Calibri"/>
          <w:b/>
          <w:color w:val="245986"/>
        </w:rPr>
        <w:t xml:space="preserve">USR-003  </w:t>
      </w:r>
      <w:r>
        <w:rPr>
          <w:rFonts w:ascii="Calibri" w:hAnsi="Calibri" w:eastAsia="Calibri"/>
        </w:rPr>
        <w:t>Provide teams with members, owners and optional organization-unit scope.</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Team-scoped queries cannot expose records outside the tenant.</w:t>
      </w:r>
    </w:p>
    <w:p>
      <w:pPr>
        <w:keepNext/>
        <w:keepLines/>
        <w:widowControl/>
        <w:spacing w:before="40" w:after="40" w:line="264" w:lineRule="auto"/>
      </w:pPr>
      <w:r>
        <w:rPr>
          <w:rFonts w:ascii="Calibri" w:hAnsi="Calibri" w:eastAsia="Calibri"/>
          <w:b/>
          <w:color w:val="245986"/>
        </w:rPr>
        <w:t xml:space="preserve">USR-004  </w:t>
      </w:r>
      <w:r>
        <w:rPr>
          <w:rFonts w:ascii="Calibri" w:hAnsi="Calibri" w:eastAsia="Calibri"/>
        </w:rPr>
        <w:t>Support CSV import through an asynchronous validated job with preview and row-level error reporting.</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A failed row does not corrupt successful rows; duplicate policy is explicit.</w:t>
      </w:r>
    </w:p>
    <w:p>
      <w:pPr>
        <w:keepNext/>
        <w:keepLines/>
        <w:widowControl/>
        <w:spacing w:before="40" w:after="40" w:line="264" w:lineRule="auto"/>
      </w:pPr>
      <w:r>
        <w:rPr>
          <w:rFonts w:ascii="Calibri" w:hAnsi="Calibri" w:eastAsia="Calibri"/>
          <w:b/>
          <w:color w:val="245986"/>
        </w:rPr>
        <w:t xml:space="preserve">USR-005  </w:t>
      </w:r>
      <w:r>
        <w:rPr>
          <w:rFonts w:ascii="Calibri" w:hAnsi="Calibri" w:eastAsia="Calibri"/>
        </w:rPr>
        <w:t>Expose searchable and paginated user, membership and activity APIs.</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Filters are indexed and response envelopes are consistent.</w:t>
      </w:r>
    </w:p>
    <w:p>
      <w:pPr>
        <w:keepNext/>
        <w:keepLines/>
        <w:widowControl/>
        <w:spacing w:before="40" w:after="40" w:line="264" w:lineRule="auto"/>
      </w:pPr>
      <w:r>
        <w:rPr>
          <w:rFonts w:ascii="Calibri" w:hAnsi="Calibri" w:eastAsia="Calibri"/>
          <w:b/>
          <w:color w:val="245986"/>
        </w:rPr>
        <w:t xml:space="preserve">USR-006  </w:t>
      </w:r>
      <w:r>
        <w:rPr>
          <w:rFonts w:ascii="Calibri" w:hAnsi="Calibri" w:eastAsia="Calibri"/>
        </w:rPr>
        <w:t>Enforce configurable user limits per tenant and plan.</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Invites and creates fail with a stable limit-exceeded error when the quota is reached.</w:t>
      </w:r>
    </w:p>
    <w:p>
      <w:pPr>
        <w:pStyle w:val="Heading1"/>
        <w:keepNext/>
      </w:pPr>
      <w:r>
        <w:t>8. RBAC and authorization</w:t>
      </w:r>
    </w:p>
    <w:p>
      <w:pPr>
        <w:keepNext/>
        <w:keepLines/>
        <w:widowControl/>
        <w:spacing w:before="40" w:after="40" w:line="264" w:lineRule="auto"/>
      </w:pPr>
      <w:r>
        <w:rPr>
          <w:rFonts w:ascii="Calibri" w:hAnsi="Calibri" w:eastAsia="Calibri"/>
          <w:b/>
          <w:color w:val="245986"/>
        </w:rPr>
        <w:t xml:space="preserve">RBAC-001  </w:t>
      </w:r>
      <w:r>
        <w:rPr>
          <w:rFonts w:ascii="Calibri" w:hAnsi="Calibri" w:eastAsia="Calibri"/>
        </w:rPr>
        <w:t>Provide a centrally registered permission catalogue using stable identifiers such as users.manage and reports.view.</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Startup fails when a configured role references an unknown permission.</w:t>
      </w:r>
    </w:p>
    <w:p>
      <w:pPr>
        <w:keepNext/>
        <w:keepLines/>
        <w:widowControl/>
        <w:spacing w:before="40" w:after="40" w:line="264" w:lineRule="auto"/>
      </w:pPr>
      <w:r>
        <w:rPr>
          <w:rFonts w:ascii="Calibri" w:hAnsi="Calibri" w:eastAsia="Calibri"/>
          <w:b/>
          <w:color w:val="245986"/>
        </w:rPr>
        <w:t xml:space="preserve">RBAC-002  </w:t>
      </w:r>
      <w:r>
        <w:rPr>
          <w:rFonts w:ascii="Calibri" w:hAnsi="Calibri" w:eastAsia="Calibri"/>
        </w:rPr>
        <w:t>Support platform-scoped, tenant-scoped and organization-unit-scoped role assignments.</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The same user can hold different roles in different organizations without permission leakage.</w:t>
      </w:r>
    </w:p>
    <w:p>
      <w:pPr>
        <w:keepNext/>
        <w:keepLines/>
        <w:widowControl/>
        <w:spacing w:before="40" w:after="40" w:line="264" w:lineRule="auto"/>
      </w:pPr>
      <w:r>
        <w:rPr>
          <w:rFonts w:ascii="Calibri" w:hAnsi="Calibri" w:eastAsia="Calibri"/>
          <w:b/>
          <w:color w:val="245986"/>
        </w:rPr>
        <w:t xml:space="preserve">RBAC-003  </w:t>
      </w:r>
      <w:r>
        <w:rPr>
          <w:rFonts w:ascii="Calibri" w:hAnsi="Calibri" w:eastAsia="Calibri"/>
        </w:rPr>
        <w:t>Support default system roles and tenant-defined custom roles where enabled.</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Protected platform roles cannot be modified by tenant administrators.</w:t>
      </w:r>
    </w:p>
    <w:p>
      <w:pPr>
        <w:keepNext/>
        <w:keepLines/>
        <w:widowControl/>
        <w:spacing w:before="40" w:after="40" w:line="264" w:lineRule="auto"/>
      </w:pPr>
      <w:r>
        <w:rPr>
          <w:rFonts w:ascii="Calibri" w:hAnsi="Calibri" w:eastAsia="Calibri"/>
          <w:b/>
          <w:color w:val="245986"/>
        </w:rPr>
        <w:t xml:space="preserve">RBAC-004  </w:t>
      </w:r>
      <w:r>
        <w:rPr>
          <w:rFonts w:ascii="Calibri" w:hAnsi="Calibri" w:eastAsia="Calibri"/>
        </w:rPr>
        <w:t>Enforce permissions in NestJS guards and again in sensitive service/repository operations.</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Calling services outside an HTTP controller cannot bypass authorization.</w:t>
      </w:r>
    </w:p>
    <w:p>
      <w:pPr>
        <w:keepNext/>
        <w:keepLines/>
        <w:widowControl/>
        <w:spacing w:before="40" w:after="40" w:line="264" w:lineRule="auto"/>
      </w:pPr>
      <w:r>
        <w:rPr>
          <w:rFonts w:ascii="Calibri" w:hAnsi="Calibri" w:eastAsia="Calibri"/>
          <w:b/>
          <w:color w:val="245986"/>
        </w:rPr>
        <w:t xml:space="preserve">RBAC-005  </w:t>
      </w:r>
      <w:r>
        <w:rPr>
          <w:rFonts w:ascii="Calibri" w:hAnsi="Calibri" w:eastAsia="Calibri"/>
        </w:rPr>
        <w:t>Support ownership rules including own, team, organization-unit and all-tenant scopes.</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Authorization matrix tests cover each ownership scope.</w:t>
      </w:r>
    </w:p>
    <w:p>
      <w:pPr>
        <w:keepNext/>
        <w:keepLines/>
        <w:widowControl/>
        <w:spacing w:before="40" w:after="40" w:line="264" w:lineRule="auto"/>
      </w:pPr>
      <w:r>
        <w:rPr>
          <w:rFonts w:ascii="Calibri" w:hAnsi="Calibri" w:eastAsia="Calibri"/>
          <w:b/>
          <w:color w:val="245986"/>
        </w:rPr>
        <w:t xml:space="preserve">RBAC-006  </w:t>
      </w:r>
      <w:r>
        <w:rPr>
          <w:rFonts w:ascii="Calibri" w:hAnsi="Calibri" w:eastAsia="Calibri"/>
        </w:rPr>
        <w:t>Expose effective-permission APIs for frontend menu and action visibility.</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Frontend hints never replace backend enforcement.</w:t>
      </w:r>
    </w:p>
    <w:p>
      <w:pPr>
        <w:keepNext/>
        <w:keepLines/>
        <w:widowControl/>
        <w:spacing w:before="40" w:after="40" w:line="264" w:lineRule="auto"/>
      </w:pPr>
      <w:r>
        <w:rPr>
          <w:rFonts w:ascii="Calibri" w:hAnsi="Calibri" w:eastAsia="Calibri"/>
          <w:b/>
          <w:color w:val="245986"/>
        </w:rPr>
        <w:t xml:space="preserve">RBAC-007  </w:t>
      </w:r>
      <w:r>
        <w:rPr>
          <w:rFonts w:ascii="Calibri" w:hAnsi="Calibri" w:eastAsia="Calibri"/>
        </w:rPr>
        <w:t>Invalidate authorization caches on role, membership or tenant-status changes.</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Permission changes become effective within the configured maximum delay.</w:t>
      </w:r>
    </w:p>
    <w:p>
      <w:pPr>
        <w:keepNext/>
        <w:keepLines/>
        <w:widowControl/>
        <w:spacing w:before="40" w:after="40" w:line="264" w:lineRule="auto"/>
      </w:pPr>
      <w:r>
        <w:rPr>
          <w:rFonts w:ascii="Calibri" w:hAnsi="Calibri" w:eastAsia="Calibri"/>
          <w:b/>
          <w:color w:val="245986"/>
        </w:rPr>
        <w:t xml:space="preserve">RBAC-008  </w:t>
      </w:r>
      <w:r>
        <w:rPr>
          <w:rFonts w:ascii="Calibri" w:hAnsi="Calibri" w:eastAsia="Calibri"/>
        </w:rPr>
        <w:t>Audit role definitions, assignments and privileged permission checks.</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Who changed access, what changed and the resulting scope are retrievable.</w:t>
      </w:r>
    </w:p>
    <w:p>
      <w:pPr>
        <w:pStyle w:val="Heading1"/>
        <w:keepNext/>
      </w:pPr>
      <w:r>
        <w:t>9. Administration services</w:t>
      </w:r>
    </w:p>
    <w:p>
      <w:pPr>
        <w:pStyle w:val="Heading2"/>
        <w:keepNext/>
      </w:pPr>
      <w:r>
        <w:t>9.1 Platform administration</w:t>
      </w:r>
    </w:p>
    <w:p>
      <w:pPr>
        <w:keepNext w:val="0"/>
        <w:keepLines w:val="0"/>
        <w:widowControl/>
        <w:numPr>
          <w:ilvl w:val="0"/>
          <w:numId w:val="10"/>
        </w:numPr>
        <w:spacing w:before="0" w:after="160" w:line="280" w:lineRule="auto"/>
      </w:pPr>
      <w:r>
        <w:rPr>
          <w:rFonts w:ascii="Calibri" w:hAnsi="Calibri" w:eastAsia="Calibri"/>
        </w:rPr>
        <w:t>Tenant create, activate, suspend, archive and plan assignment.</w:t>
      </w:r>
    </w:p>
    <w:p>
      <w:pPr>
        <w:keepNext w:val="0"/>
        <w:keepLines w:val="0"/>
        <w:widowControl/>
        <w:numPr>
          <w:ilvl w:val="0"/>
          <w:numId w:val="10"/>
        </w:numPr>
        <w:spacing w:before="0" w:after="160" w:line="280" w:lineRule="auto"/>
      </w:pPr>
      <w:r>
        <w:rPr>
          <w:rFonts w:ascii="Calibri" w:hAnsi="Calibri" w:eastAsia="Calibri"/>
        </w:rPr>
        <w:t>Cross-tenant user search available only through explicit privileged routes.</w:t>
      </w:r>
    </w:p>
    <w:p>
      <w:pPr>
        <w:keepNext w:val="0"/>
        <w:keepLines w:val="0"/>
        <w:widowControl/>
        <w:numPr>
          <w:ilvl w:val="0"/>
          <w:numId w:val="10"/>
        </w:numPr>
        <w:spacing w:before="0" w:after="160" w:line="280" w:lineRule="auto"/>
      </w:pPr>
      <w:r>
        <w:rPr>
          <w:rFonts w:ascii="Calibri" w:hAnsi="Calibri" w:eastAsia="Calibri"/>
        </w:rPr>
        <w:t>Module and feature enablement, global provider health and global usage overview.</w:t>
      </w:r>
    </w:p>
    <w:p>
      <w:pPr>
        <w:keepNext w:val="0"/>
        <w:keepLines w:val="0"/>
        <w:widowControl/>
        <w:numPr>
          <w:ilvl w:val="0"/>
          <w:numId w:val="10"/>
        </w:numPr>
        <w:spacing w:before="0" w:after="160" w:line="280" w:lineRule="auto"/>
      </w:pPr>
      <w:r>
        <w:rPr>
          <w:rFonts w:ascii="Calibri" w:hAnsi="Calibri" w:eastAsia="Calibri"/>
        </w:rPr>
        <w:t>Failed-job inspection/retry, webhook failures, system health and security events.</w:t>
      </w:r>
    </w:p>
    <w:p>
      <w:pPr>
        <w:keepNext w:val="0"/>
        <w:keepLines w:val="0"/>
        <w:widowControl/>
        <w:numPr>
          <w:ilvl w:val="0"/>
          <w:numId w:val="10"/>
        </w:numPr>
        <w:spacing w:before="0" w:after="160" w:line="280" w:lineRule="auto"/>
      </w:pPr>
      <w:r>
        <w:rPr>
          <w:rFonts w:ascii="Calibri" w:hAnsi="Calibri" w:eastAsia="Calibri"/>
        </w:rPr>
        <w:t>Audited and time-bound support access; no silent impersonation.</w:t>
      </w:r>
    </w:p>
    <w:p>
      <w:pPr>
        <w:pStyle w:val="Heading2"/>
        <w:keepNext/>
      </w:pPr>
      <w:r>
        <w:t>9.2 Tenant administration</w:t>
      </w:r>
    </w:p>
    <w:p>
      <w:pPr>
        <w:keepNext w:val="0"/>
        <w:keepLines w:val="0"/>
        <w:widowControl/>
        <w:numPr>
          <w:ilvl w:val="0"/>
          <w:numId w:val="10"/>
        </w:numPr>
        <w:spacing w:before="0" w:after="160" w:line="280" w:lineRule="auto"/>
      </w:pPr>
      <w:r>
        <w:rPr>
          <w:rFonts w:ascii="Calibri" w:hAnsi="Calibri" w:eastAsia="Calibri"/>
        </w:rPr>
        <w:t>Organization profile, branches/departments, users, invitations and teams.</w:t>
      </w:r>
    </w:p>
    <w:p>
      <w:pPr>
        <w:keepNext w:val="0"/>
        <w:keepLines w:val="0"/>
        <w:widowControl/>
        <w:numPr>
          <w:ilvl w:val="0"/>
          <w:numId w:val="10"/>
        </w:numPr>
        <w:spacing w:before="0" w:after="160" w:line="280" w:lineRule="auto"/>
      </w:pPr>
      <w:r>
        <w:rPr>
          <w:rFonts w:ascii="Calibri" w:hAnsi="Calibri" w:eastAsia="Calibri"/>
        </w:rPr>
        <w:t>Tenant roles, assignments, settings, branding references and notification defaults.</w:t>
      </w:r>
    </w:p>
    <w:p>
      <w:pPr>
        <w:keepNext w:val="0"/>
        <w:keepLines w:val="0"/>
        <w:widowControl/>
        <w:numPr>
          <w:ilvl w:val="0"/>
          <w:numId w:val="10"/>
        </w:numPr>
        <w:spacing w:before="0" w:after="160" w:line="280" w:lineRule="auto"/>
      </w:pPr>
      <w:r>
        <w:rPr>
          <w:rFonts w:ascii="Calibri" w:hAnsi="Calibri" w:eastAsia="Calibri"/>
        </w:rPr>
        <w:t>Integration credential references and connection tests without returning secret values.</w:t>
      </w:r>
    </w:p>
    <w:p>
      <w:pPr>
        <w:keepNext w:val="0"/>
        <w:keepLines w:val="0"/>
        <w:widowControl/>
        <w:numPr>
          <w:ilvl w:val="0"/>
          <w:numId w:val="10"/>
        </w:numPr>
        <w:spacing w:before="0" w:after="160" w:line="280" w:lineRule="auto"/>
      </w:pPr>
      <w:r>
        <w:rPr>
          <w:rFonts w:ascii="Calibri" w:hAnsi="Calibri" w:eastAsia="Calibri"/>
        </w:rPr>
        <w:t>Subscription, usage, invoices, payments, audit logs and enabled features.</w:t>
      </w:r>
    </w:p>
    <w:p>
      <w:pPr>
        <w:pStyle w:val="Heading1"/>
        <w:keepNext/>
      </w:pPr>
      <w:r>
        <w:t>10. Generic data and CRUD foundation</w:t>
      </w:r>
    </w:p>
    <w:p>
      <w:pPr>
        <w:keepNext w:val="0"/>
        <w:keepLines w:val="0"/>
        <w:widowControl/>
        <w:spacing w:before="0" w:after="120" w:line="264" w:lineRule="auto"/>
        <w:jc w:val="left"/>
      </w:pPr>
      <w:r>
        <w:rPr>
          <w:rFonts w:ascii="Calibri" w:hAnsi="Calibri" w:eastAsia="Calibri"/>
          <w:b w:val="0"/>
          <w:i w:val="0"/>
          <w:color w:val="172033"/>
          <w:sz w:val="22"/>
        </w:rPr>
        <w:t>The core shall provide reusable backend primitives so client domain modules require only schema, permissions, validation and optional business hooks. It shall not expose an unrestricted “create any collection” API in production.</w:t>
      </w:r>
    </w:p>
    <w:p>
      <w:pPr>
        <w:keepNext/>
        <w:keepLines/>
        <w:widowControl/>
        <w:spacing w:before="40" w:after="40" w:line="264" w:lineRule="auto"/>
      </w:pPr>
      <w:r>
        <w:rPr>
          <w:rFonts w:ascii="Calibri" w:hAnsi="Calibri" w:eastAsia="Calibri"/>
          <w:b/>
          <w:color w:val="245986"/>
        </w:rPr>
        <w:t xml:space="preserve">CRUD-001  </w:t>
      </w:r>
      <w:r>
        <w:rPr>
          <w:rFonts w:ascii="Calibri" w:hAnsi="Calibri" w:eastAsia="Calibri"/>
        </w:rPr>
        <w:t>Provide base document fields: _id, tenantId, organizationUnitId where applicable, status, tags, customFields, createdAt, createdBy, updatedAt, updatedBy, archivedAt and version.</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Generated domain schemas inherit approved base fields.</w:t>
      </w:r>
    </w:p>
    <w:p>
      <w:pPr>
        <w:keepNext/>
        <w:keepLines/>
        <w:widowControl/>
        <w:spacing w:before="40" w:after="40" w:line="264" w:lineRule="auto"/>
      </w:pPr>
      <w:r>
        <w:rPr>
          <w:rFonts w:ascii="Calibri" w:hAnsi="Calibri" w:eastAsia="Calibri"/>
          <w:b/>
          <w:color w:val="245986"/>
        </w:rPr>
        <w:t xml:space="preserve">CRUD-002  </w:t>
      </w:r>
      <w:r>
        <w:rPr>
          <w:rFonts w:ascii="Calibri" w:hAnsi="Calibri" w:eastAsia="Calibri"/>
        </w:rPr>
        <w:t>Provide reusable create, view, list, update, archive and restore services with hooks for validation and authorization.</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A reference entity can be implemented without copying infrastructure code.</w:t>
      </w:r>
    </w:p>
    <w:p>
      <w:pPr>
        <w:keepNext/>
        <w:keepLines/>
        <w:widowControl/>
        <w:spacing w:before="40" w:after="40" w:line="264" w:lineRule="auto"/>
      </w:pPr>
      <w:r>
        <w:rPr>
          <w:rFonts w:ascii="Calibri" w:hAnsi="Calibri" w:eastAsia="Calibri"/>
          <w:b/>
          <w:color w:val="245986"/>
        </w:rPr>
        <w:t xml:space="preserve">CRUD-003  </w:t>
      </w:r>
      <w:r>
        <w:rPr>
          <w:rFonts w:ascii="Calibri" w:hAnsi="Calibri" w:eastAsia="Calibri"/>
        </w:rPr>
        <w:t>Provide standardized pagination, field allowlists, sorting, filtering and search.</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Unapproved fields/operators cannot be queried and indexes support normal filters.</w:t>
      </w:r>
    </w:p>
    <w:p>
      <w:pPr>
        <w:keepNext/>
        <w:keepLines/>
        <w:widowControl/>
        <w:spacing w:before="40" w:after="40" w:line="264" w:lineRule="auto"/>
      </w:pPr>
      <w:r>
        <w:rPr>
          <w:rFonts w:ascii="Calibri" w:hAnsi="Calibri" w:eastAsia="Calibri"/>
          <w:b/>
          <w:color w:val="245986"/>
        </w:rPr>
        <w:t xml:space="preserve">CRUD-004  </w:t>
      </w:r>
      <w:r>
        <w:rPr>
          <w:rFonts w:ascii="Calibri" w:hAnsi="Calibri" w:eastAsia="Calibri"/>
        </w:rPr>
        <w:t>Provide optimistic concurrency using a version field for conflict-sensitive updates.</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Stale updates receive a documented conflict response.</w:t>
      </w:r>
    </w:p>
    <w:p>
      <w:pPr>
        <w:keepNext/>
        <w:keepLines/>
        <w:widowControl/>
        <w:spacing w:before="40" w:after="40" w:line="264" w:lineRule="auto"/>
      </w:pPr>
      <w:r>
        <w:rPr>
          <w:rFonts w:ascii="Calibri" w:hAnsi="Calibri" w:eastAsia="Calibri"/>
          <w:b/>
          <w:color w:val="245986"/>
        </w:rPr>
        <w:t xml:space="preserve">CRUD-005  </w:t>
      </w:r>
      <w:r>
        <w:rPr>
          <w:rFonts w:ascii="Calibri" w:hAnsi="Calibri" w:eastAsia="Calibri"/>
        </w:rPr>
        <w:t>Provide configurable custom fields with typed definitions, validation, indexing policy and permissions.</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Invalid custom-field values are rejected and uncontrolled index creation is prevented.</w:t>
      </w:r>
    </w:p>
    <w:p>
      <w:pPr>
        <w:keepNext/>
        <w:keepLines/>
        <w:widowControl/>
        <w:spacing w:before="40" w:after="40" w:line="264" w:lineRule="auto"/>
      </w:pPr>
      <w:r>
        <w:rPr>
          <w:rFonts w:ascii="Calibri" w:hAnsi="Calibri" w:eastAsia="Calibri"/>
          <w:b/>
          <w:color w:val="245986"/>
        </w:rPr>
        <w:t xml:space="preserve">CRUD-006  </w:t>
      </w:r>
      <w:r>
        <w:rPr>
          <w:rFonts w:ascii="Calibri" w:hAnsi="Calibri" w:eastAsia="Calibri"/>
        </w:rPr>
        <w:t>Provide reusable tags, notes, attachments and activity-history relationships.</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A new entity can enable these capabilities through metadata/configuration.</w:t>
      </w:r>
    </w:p>
    <w:p>
      <w:pPr>
        <w:keepNext/>
        <w:keepLines/>
        <w:widowControl/>
        <w:spacing w:before="40" w:after="40" w:line="264" w:lineRule="auto"/>
      </w:pPr>
      <w:r>
        <w:rPr>
          <w:rFonts w:ascii="Calibri" w:hAnsi="Calibri" w:eastAsia="Calibri"/>
          <w:b/>
          <w:color w:val="245986"/>
        </w:rPr>
        <w:t xml:space="preserve">CRUD-007  </w:t>
      </w:r>
      <w:r>
        <w:rPr>
          <w:rFonts w:ascii="Calibri" w:hAnsi="Calibri" w:eastAsia="Calibri"/>
        </w:rPr>
        <w:t>Provide asynchronous import/export with preview, validation, access control and downloadable error files.</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Large operations do not block API workers and remain tenant-isolated.</w:t>
      </w:r>
    </w:p>
    <w:p>
      <w:pPr>
        <w:keepNext/>
        <w:keepLines/>
        <w:widowControl/>
        <w:spacing w:before="40" w:after="40" w:line="264" w:lineRule="auto"/>
      </w:pPr>
      <w:r>
        <w:rPr>
          <w:rFonts w:ascii="Calibri" w:hAnsi="Calibri" w:eastAsia="Calibri"/>
          <w:b/>
          <w:color w:val="245986"/>
        </w:rPr>
        <w:t xml:space="preserve">CRUD-008  </w:t>
      </w:r>
      <w:r>
        <w:rPr>
          <w:rFonts w:ascii="Calibri" w:hAnsi="Calibri" w:eastAsia="Calibri"/>
        </w:rPr>
        <w:t>Generate OpenAPI DTOs and stable event names for configured domain modules.</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A clean generation produces type-safe APIs without unresolved placeholders.</w:t>
      </w:r>
    </w:p>
    <w:p>
      <w:pPr>
        <w:pStyle w:val="Heading1"/>
        <w:keepNext/>
      </w:pPr>
      <w:r>
        <w:t>11. Files and attachments</w:t>
      </w:r>
    </w:p>
    <w:p>
      <w:pPr>
        <w:keepNext/>
        <w:keepLines/>
        <w:widowControl/>
        <w:spacing w:before="40" w:after="40" w:line="264" w:lineRule="auto"/>
      </w:pPr>
      <w:r>
        <w:rPr>
          <w:rFonts w:ascii="Calibri" w:hAnsi="Calibri" w:eastAsia="Calibri"/>
          <w:b/>
          <w:color w:val="245986"/>
        </w:rPr>
        <w:t xml:space="preserve">FILE-001  </w:t>
      </w:r>
      <w:r>
        <w:rPr>
          <w:rFonts w:ascii="Calibri" w:hAnsi="Calibri" w:eastAsia="Calibri"/>
        </w:rPr>
        <w:t>Store binary content in S3-compatible object storage and metadata in MongoDB.</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MongoDB documents do not contain normal uploaded file bodies.</w:t>
      </w:r>
    </w:p>
    <w:p>
      <w:pPr>
        <w:keepNext/>
        <w:keepLines/>
        <w:widowControl/>
        <w:spacing w:before="40" w:after="40" w:line="264" w:lineRule="auto"/>
      </w:pPr>
      <w:r>
        <w:rPr>
          <w:rFonts w:ascii="Calibri" w:hAnsi="Calibri" w:eastAsia="Calibri"/>
          <w:b/>
          <w:color w:val="245986"/>
        </w:rPr>
        <w:t xml:space="preserve">FILE-002  </w:t>
      </w:r>
      <w:r>
        <w:rPr>
          <w:rFonts w:ascii="Calibri" w:hAnsi="Calibri" w:eastAsia="Calibri"/>
        </w:rPr>
        <w:t>Use tenant-prefixed object keys and authorization checks for every upload, download, preview and delete action.</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Knowing an object key does not bypass tenant/record access.</w:t>
      </w:r>
    </w:p>
    <w:p>
      <w:pPr>
        <w:keepNext/>
        <w:keepLines/>
        <w:widowControl/>
        <w:spacing w:before="40" w:after="40" w:line="264" w:lineRule="auto"/>
      </w:pPr>
      <w:r>
        <w:rPr>
          <w:rFonts w:ascii="Calibri" w:hAnsi="Calibri" w:eastAsia="Calibri"/>
          <w:b/>
          <w:color w:val="245986"/>
        </w:rPr>
        <w:t xml:space="preserve">FILE-003  </w:t>
      </w:r>
      <w:r>
        <w:rPr>
          <w:rFonts w:ascii="Calibri" w:hAnsi="Calibri" w:eastAsia="Calibri"/>
        </w:rPr>
        <w:t>Support direct presigned upload/download where configured, followed by server-side completion validation.</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Expired or mismatched completion requests are rejected.</w:t>
      </w:r>
    </w:p>
    <w:p>
      <w:pPr>
        <w:keepNext/>
        <w:keepLines/>
        <w:widowControl/>
        <w:spacing w:before="40" w:after="40" w:line="264" w:lineRule="auto"/>
      </w:pPr>
      <w:r>
        <w:rPr>
          <w:rFonts w:ascii="Calibri" w:hAnsi="Calibri" w:eastAsia="Calibri"/>
          <w:b/>
          <w:color w:val="245986"/>
        </w:rPr>
        <w:t xml:space="preserve">FILE-004  </w:t>
      </w:r>
      <w:r>
        <w:rPr>
          <w:rFonts w:ascii="Calibri" w:hAnsi="Calibri" w:eastAsia="Calibri"/>
        </w:rPr>
        <w:t>Enforce configurable file types, size limits, checksum and malware-scan status.</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Files are not downloadable until required checks pass.</w:t>
      </w:r>
    </w:p>
    <w:p>
      <w:pPr>
        <w:keepNext/>
        <w:keepLines/>
        <w:widowControl/>
        <w:spacing w:before="40" w:after="40" w:line="264" w:lineRule="auto"/>
      </w:pPr>
      <w:r>
        <w:rPr>
          <w:rFonts w:ascii="Calibri" w:hAnsi="Calibri" w:eastAsia="Calibri"/>
          <w:b/>
          <w:color w:val="245986"/>
        </w:rPr>
        <w:t xml:space="preserve">FILE-005  </w:t>
      </w:r>
      <w:r>
        <w:rPr>
          <w:rFonts w:ascii="Calibri" w:hAnsi="Calibri" w:eastAsia="Calibri"/>
        </w:rPr>
        <w:t>Support attachment links to arbitrary approved entities and file categories.</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Deleting or archiving a parent follows configured retention rules.</w:t>
      </w:r>
    </w:p>
    <w:p>
      <w:pPr>
        <w:keepNext/>
        <w:keepLines/>
        <w:widowControl/>
        <w:spacing w:before="40" w:after="40" w:line="264" w:lineRule="auto"/>
      </w:pPr>
      <w:r>
        <w:rPr>
          <w:rFonts w:ascii="Calibri" w:hAnsi="Calibri" w:eastAsia="Calibri"/>
          <w:b/>
          <w:color w:val="245986"/>
        </w:rPr>
        <w:t xml:space="preserve">FILE-006  </w:t>
      </w:r>
      <w:r>
        <w:rPr>
          <w:rFonts w:ascii="Calibri" w:hAnsi="Calibri" w:eastAsia="Calibri"/>
        </w:rPr>
        <w:t>Support retention, legal-hold metadata and controlled deletion.</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Protected files remain immutable and deletion actions are audited.</w:t>
      </w:r>
    </w:p>
    <w:p>
      <w:pPr>
        <w:pStyle w:val="Heading1"/>
        <w:keepNext/>
      </w:pPr>
      <w:r>
        <w:t>12. Billing and entitlements</w:t>
      </w:r>
    </w:p>
    <w:p>
      <w:pPr>
        <w:keepNext w:val="0"/>
        <w:keepLines w:val="0"/>
        <w:widowControl/>
        <w:spacing w:before="0" w:after="120" w:line="264" w:lineRule="auto"/>
        <w:jc w:val="left"/>
      </w:pPr>
      <w:r>
        <w:rPr>
          <w:rFonts w:ascii="Calibri" w:hAnsi="Calibri" w:eastAsia="Calibri"/>
          <w:b w:val="0"/>
          <w:i w:val="0"/>
          <w:color w:val="172033"/>
          <w:sz w:val="22"/>
        </w:rPr>
        <w:t>Billing is always present. A project may use subscriptions, transaction charging or both. Plans and prices are configuration; the billing engine is core code.</w:t>
      </w:r>
    </w:p>
    <w:p>
      <w:pPr>
        <w:keepNext/>
        <w:keepLines/>
        <w:widowControl/>
        <w:spacing w:before="40" w:after="40" w:line="264" w:lineRule="auto"/>
      </w:pPr>
      <w:r>
        <w:rPr>
          <w:rFonts w:ascii="Calibri" w:hAnsi="Calibri" w:eastAsia="Calibri"/>
          <w:b/>
          <w:color w:val="245986"/>
        </w:rPr>
        <w:t xml:space="preserve">BILL-001  </w:t>
      </w:r>
      <w:r>
        <w:rPr>
          <w:rFonts w:ascii="Calibri" w:hAnsi="Calibri" w:eastAsia="Calibri"/>
        </w:rPr>
        <w:t>Provide plans, versions, prices, billing intervals, trials, entitlements, quotas and effective dates.</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Changing a plan creates a new version and does not rewrite historical invoices.</w:t>
      </w:r>
    </w:p>
    <w:p>
      <w:pPr>
        <w:keepNext/>
        <w:keepLines/>
        <w:widowControl/>
        <w:spacing w:before="40" w:after="40" w:line="264" w:lineRule="auto"/>
      </w:pPr>
      <w:r>
        <w:rPr>
          <w:rFonts w:ascii="Calibri" w:hAnsi="Calibri" w:eastAsia="Calibri"/>
          <w:b/>
          <w:color w:val="245986"/>
        </w:rPr>
        <w:t xml:space="preserve">BILL-002  </w:t>
      </w:r>
      <w:r>
        <w:rPr>
          <w:rFonts w:ascii="Calibri" w:hAnsi="Calibri" w:eastAsia="Calibri"/>
        </w:rPr>
        <w:t>Support tenant subscriptions with pending, trialing, active, past_due, paused, cancelled and expired states.</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Only valid state transitions are accepted and audited.</w:t>
      </w:r>
    </w:p>
    <w:p>
      <w:pPr>
        <w:keepNext/>
        <w:keepLines/>
        <w:widowControl/>
        <w:spacing w:before="40" w:after="40" w:line="264" w:lineRule="auto"/>
      </w:pPr>
      <w:r>
        <w:rPr>
          <w:rFonts w:ascii="Calibri" w:hAnsi="Calibri" w:eastAsia="Calibri"/>
          <w:b/>
          <w:color w:val="245986"/>
        </w:rPr>
        <w:t xml:space="preserve">BILL-003  </w:t>
      </w:r>
      <w:r>
        <w:rPr>
          <w:rFonts w:ascii="Calibri" w:hAnsi="Calibri" w:eastAsia="Calibri"/>
        </w:rPr>
        <w:t>Support transaction/usage charging through immutable usage events carrying tenant, metric, quantity, unit price snapshot, source reference and idempotency key.</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Duplicate usage events are ignored and traceable.</w:t>
      </w:r>
    </w:p>
    <w:p>
      <w:pPr>
        <w:keepNext/>
        <w:keepLines/>
        <w:widowControl/>
        <w:spacing w:before="40" w:after="40" w:line="264" w:lineRule="auto"/>
      </w:pPr>
      <w:r>
        <w:rPr>
          <w:rFonts w:ascii="Calibri" w:hAnsi="Calibri" w:eastAsia="Calibri"/>
          <w:b/>
          <w:color w:val="245986"/>
        </w:rPr>
        <w:t xml:space="preserve">BILL-004  </w:t>
      </w:r>
      <w:r>
        <w:rPr>
          <w:rFonts w:ascii="Calibri" w:hAnsi="Calibri" w:eastAsia="Calibri"/>
        </w:rPr>
        <w:t>Provide real-time entitlement and quota checks usable by business modules.</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Protected actions are rejected when plan/credit/quota rules disallow them.</w:t>
      </w:r>
    </w:p>
    <w:p>
      <w:pPr>
        <w:keepNext/>
        <w:keepLines/>
        <w:widowControl/>
        <w:spacing w:before="40" w:after="40" w:line="264" w:lineRule="auto"/>
      </w:pPr>
      <w:r>
        <w:rPr>
          <w:rFonts w:ascii="Calibri" w:hAnsi="Calibri" w:eastAsia="Calibri"/>
          <w:b/>
          <w:color w:val="245986"/>
        </w:rPr>
        <w:t xml:space="preserve">BILL-005  </w:t>
      </w:r>
      <w:r>
        <w:rPr>
          <w:rFonts w:ascii="Calibri" w:hAnsi="Calibri" w:eastAsia="Calibri"/>
        </w:rPr>
        <w:t>Support prepaid credits and adjustments with an append-only balance ledger.</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Balance equals ledger sum; no direct balance mutation is permitted.</w:t>
      </w:r>
    </w:p>
    <w:p>
      <w:pPr>
        <w:keepNext/>
        <w:keepLines/>
        <w:widowControl/>
        <w:spacing w:before="40" w:after="40" w:line="264" w:lineRule="auto"/>
      </w:pPr>
      <w:r>
        <w:rPr>
          <w:rFonts w:ascii="Calibri" w:hAnsi="Calibri" w:eastAsia="Calibri"/>
          <w:b/>
          <w:color w:val="245986"/>
        </w:rPr>
        <w:t xml:space="preserve">BILL-006  </w:t>
      </w:r>
      <w:r>
        <w:rPr>
          <w:rFonts w:ascii="Calibri" w:hAnsi="Calibri" w:eastAsia="Calibri"/>
        </w:rPr>
        <w:t>Generate invoice records with line items, discounts, taxes, totals, currency and payment status.</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Invoice totals are reproducible from stored line-item snapshots.</w:t>
      </w:r>
    </w:p>
    <w:p>
      <w:pPr>
        <w:keepNext/>
        <w:keepLines/>
        <w:widowControl/>
        <w:spacing w:before="40" w:after="40" w:line="264" w:lineRule="auto"/>
      </w:pPr>
      <w:r>
        <w:rPr>
          <w:rFonts w:ascii="Calibri" w:hAnsi="Calibri" w:eastAsia="Calibri"/>
          <w:b/>
          <w:color w:val="245986"/>
        </w:rPr>
        <w:t xml:space="preserve">BILL-007  </w:t>
      </w:r>
      <w:r>
        <w:rPr>
          <w:rFonts w:ascii="Calibri" w:hAnsi="Calibri" w:eastAsia="Calibri"/>
        </w:rPr>
        <w:t>Support configurable GST/tax fields and invoice numbering without implementing statutory filing.</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Tax settings are validated and historical invoices remain unchanged.</w:t>
      </w:r>
    </w:p>
    <w:p>
      <w:pPr>
        <w:keepNext/>
        <w:keepLines/>
        <w:widowControl/>
        <w:spacing w:before="40" w:after="40" w:line="264" w:lineRule="auto"/>
      </w:pPr>
      <w:r>
        <w:rPr>
          <w:rFonts w:ascii="Calibri" w:hAnsi="Calibri" w:eastAsia="Calibri"/>
          <w:b/>
          <w:color w:val="245986"/>
        </w:rPr>
        <w:t xml:space="preserve">BILL-008  </w:t>
      </w:r>
      <w:r>
        <w:rPr>
          <w:rFonts w:ascii="Calibri" w:hAnsi="Calibri" w:eastAsia="Calibri"/>
        </w:rPr>
        <w:t>Run recurring renewal, usage aggregation, invoice generation, reminder and dunning jobs idempotently.</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Re-running a billing job creates no duplicate invoice or charge.</w:t>
      </w:r>
    </w:p>
    <w:p>
      <w:pPr>
        <w:keepNext/>
        <w:keepLines/>
        <w:widowControl/>
        <w:spacing w:before="40" w:after="40" w:line="264" w:lineRule="auto"/>
      </w:pPr>
      <w:r>
        <w:rPr>
          <w:rFonts w:ascii="Calibri" w:hAnsi="Calibri" w:eastAsia="Calibri"/>
          <w:b/>
          <w:color w:val="245986"/>
        </w:rPr>
        <w:t xml:space="preserve">BILL-009  </w:t>
      </w:r>
      <w:r>
        <w:rPr>
          <w:rFonts w:ascii="Calibri" w:hAnsi="Calibri" w:eastAsia="Calibri"/>
        </w:rPr>
        <w:t>Expose subscription, usage, invoice, credit and entitlement APIs for platform and tenant administration.</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Tenant administrators see only their tenant records.</w:t>
      </w:r>
    </w:p>
    <w:p>
      <w:pPr>
        <w:pStyle w:val="Heading1"/>
        <w:keepNext/>
      </w:pPr>
      <w:r>
        <w:t>13. Razorpay payments</w:t>
      </w:r>
    </w:p>
    <w:p>
      <w:pPr>
        <w:keepNext w:val="0"/>
        <w:keepLines w:val="0"/>
        <w:widowControl/>
        <w:spacing w:before="0" w:after="120" w:line="264" w:lineRule="auto"/>
        <w:jc w:val="left"/>
      </w:pPr>
      <w:r>
        <w:rPr>
          <w:rFonts w:ascii="Calibri" w:hAnsi="Calibri" w:eastAsia="Calibri"/>
          <w:b w:val="0"/>
          <w:i w:val="0"/>
          <w:color w:val="172033"/>
          <w:sz w:val="22"/>
        </w:rPr>
        <w:t>The payment module shall implement a provider interface with Razorpay as the prebuilt production adapter and a mock adapter for local development and automated tests.</w:t>
      </w:r>
    </w:p>
    <w:p>
      <w:pPr>
        <w:keepNext/>
        <w:keepLines/>
        <w:widowControl/>
        <w:spacing w:before="40" w:after="40" w:line="264" w:lineRule="auto"/>
      </w:pPr>
      <w:r>
        <w:rPr>
          <w:rFonts w:ascii="Calibri" w:hAnsi="Calibri" w:eastAsia="Calibri"/>
          <w:b/>
          <w:color w:val="245986"/>
        </w:rPr>
        <w:t xml:space="preserve">PAY-001  </w:t>
      </w:r>
      <w:r>
        <w:rPr>
          <w:rFonts w:ascii="Calibri" w:hAnsi="Calibri" w:eastAsia="Calibri"/>
        </w:rPr>
        <w:t>Create Razorpay orders from server-calculated payable amounts; never trust amount or tenant from the client.</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Tampered client amounts cannot alter the order.</w:t>
      </w:r>
    </w:p>
    <w:p>
      <w:pPr>
        <w:keepNext/>
        <w:keepLines/>
        <w:widowControl/>
        <w:spacing w:before="40" w:after="40" w:line="264" w:lineRule="auto"/>
      </w:pPr>
      <w:r>
        <w:rPr>
          <w:rFonts w:ascii="Calibri" w:hAnsi="Calibri" w:eastAsia="Calibri"/>
          <w:b/>
          <w:color w:val="245986"/>
        </w:rPr>
        <w:t xml:space="preserve">PAY-002  </w:t>
      </w:r>
      <w:r>
        <w:rPr>
          <w:rFonts w:ascii="Calibri" w:hAnsi="Calibri" w:eastAsia="Calibri"/>
        </w:rPr>
        <w:t>Verify payment signatures server-side before marking a payment successful.</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Invalid signatures are rejected and logged as security events.</w:t>
      </w:r>
    </w:p>
    <w:p>
      <w:pPr>
        <w:keepNext/>
        <w:keepLines/>
        <w:widowControl/>
        <w:spacing w:before="40" w:after="40" w:line="264" w:lineRule="auto"/>
      </w:pPr>
      <w:r>
        <w:rPr>
          <w:rFonts w:ascii="Calibri" w:hAnsi="Calibri" w:eastAsia="Calibri"/>
          <w:b/>
          <w:color w:val="245986"/>
        </w:rPr>
        <w:t xml:space="preserve">PAY-003  </w:t>
      </w:r>
      <w:r>
        <w:rPr>
          <w:rFonts w:ascii="Calibri" w:hAnsi="Calibri" w:eastAsia="Calibri"/>
        </w:rPr>
        <w:t>Receive Razorpay webhooks on an authenticated public route and verify webhook signatures against the raw request body.</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Altered payloads are rejected before processing.</w:t>
      </w:r>
    </w:p>
    <w:p>
      <w:pPr>
        <w:keepNext/>
        <w:keepLines/>
        <w:widowControl/>
        <w:spacing w:before="40" w:after="40" w:line="264" w:lineRule="auto"/>
      </w:pPr>
      <w:r>
        <w:rPr>
          <w:rFonts w:ascii="Calibri" w:hAnsi="Calibri" w:eastAsia="Calibri"/>
          <w:b/>
          <w:color w:val="245986"/>
        </w:rPr>
        <w:t xml:space="preserve">PAY-004  </w:t>
      </w:r>
      <w:r>
        <w:rPr>
          <w:rFonts w:ascii="Calibri" w:hAnsi="Calibri" w:eastAsia="Calibri"/>
        </w:rPr>
        <w:t>Persist every webhook before processing and deduplicate using provider event ID plus provider/account scope.</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Repeated webhook delivery produces one business outcome.</w:t>
      </w:r>
    </w:p>
    <w:p>
      <w:pPr>
        <w:keepNext/>
        <w:keepLines/>
        <w:widowControl/>
        <w:spacing w:before="40" w:after="40" w:line="264" w:lineRule="auto"/>
      </w:pPr>
      <w:r>
        <w:rPr>
          <w:rFonts w:ascii="Calibri" w:hAnsi="Calibri" w:eastAsia="Calibri"/>
          <w:b/>
          <w:color w:val="245986"/>
        </w:rPr>
        <w:t xml:space="preserve">PAY-005  </w:t>
      </w:r>
      <w:r>
        <w:rPr>
          <w:rFonts w:ascii="Calibri" w:hAnsi="Calibri" w:eastAsia="Calibri"/>
        </w:rPr>
        <w:t>Model payment orders, attempts, captures, failures, refunds and settlements as separate traceable records.</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The current state can be reconstructed from provider events and local transitions.</w:t>
      </w:r>
    </w:p>
    <w:p>
      <w:pPr>
        <w:keepNext/>
        <w:keepLines/>
        <w:widowControl/>
        <w:spacing w:before="40" w:after="40" w:line="264" w:lineRule="auto"/>
      </w:pPr>
      <w:r>
        <w:rPr>
          <w:rFonts w:ascii="Calibri" w:hAnsi="Calibri" w:eastAsia="Calibri"/>
          <w:b/>
          <w:color w:val="245986"/>
        </w:rPr>
        <w:t xml:space="preserve">PAY-006  </w:t>
      </w:r>
      <w:r>
        <w:rPr>
          <w:rFonts w:ascii="Calibri" w:hAnsi="Calibri" w:eastAsia="Calibri"/>
        </w:rPr>
        <w:t>Support full and partial refunds with permissions, reason, idempotency and audit.</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Duplicate refund requests return the existing result.</w:t>
      </w:r>
    </w:p>
    <w:p>
      <w:pPr>
        <w:keepNext/>
        <w:keepLines/>
        <w:widowControl/>
        <w:spacing w:before="40" w:after="40" w:line="264" w:lineRule="auto"/>
      </w:pPr>
      <w:r>
        <w:rPr>
          <w:rFonts w:ascii="Calibri" w:hAnsi="Calibri" w:eastAsia="Calibri"/>
          <w:b/>
          <w:color w:val="245986"/>
        </w:rPr>
        <w:t xml:space="preserve">PAY-007  </w:t>
      </w:r>
      <w:r>
        <w:rPr>
          <w:rFonts w:ascii="Calibri" w:hAnsi="Calibri" w:eastAsia="Calibri"/>
        </w:rPr>
        <w:t>Reconcile local payments with provider status through scheduled jobs and exception reports.</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Missing/different statuses are surfaced without silently changing financial history.</w:t>
      </w:r>
    </w:p>
    <w:p>
      <w:pPr>
        <w:keepNext/>
        <w:keepLines/>
        <w:widowControl/>
        <w:spacing w:before="40" w:after="40" w:line="264" w:lineRule="auto"/>
      </w:pPr>
      <w:r>
        <w:rPr>
          <w:rFonts w:ascii="Calibri" w:hAnsi="Calibri" w:eastAsia="Calibri"/>
          <w:b/>
          <w:color w:val="245986"/>
        </w:rPr>
        <w:t xml:space="preserve">PAY-008  </w:t>
      </w:r>
      <w:r>
        <w:rPr>
          <w:rFonts w:ascii="Calibri" w:hAnsi="Calibri" w:eastAsia="Calibri"/>
        </w:rPr>
        <w:t>Support test and live modes with separate secret references and explicit environment guards.</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Test credentials cannot be used in production mode and secret values are never returned by APIs.</w:t>
      </w:r>
    </w:p>
    <w:p>
      <w:pPr>
        <w:keepNext/>
        <w:keepLines/>
        <w:widowControl/>
        <w:spacing w:before="40" w:after="40" w:line="264" w:lineRule="auto"/>
      </w:pPr>
      <w:r>
        <w:rPr>
          <w:rFonts w:ascii="Calibri" w:hAnsi="Calibri" w:eastAsia="Calibri"/>
          <w:b/>
          <w:color w:val="245986"/>
        </w:rPr>
        <w:t xml:space="preserve">PAY-009  </w:t>
      </w:r>
      <w:r>
        <w:rPr>
          <w:rFonts w:ascii="Calibri" w:hAnsi="Calibri" w:eastAsia="Calibri"/>
        </w:rPr>
        <w:t>Provide a stable PaymentProvider interface so another gateway can be added without changing billing or domain modules.</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Mock and Razorpay adapters pass identical contract tests.</w:t>
      </w:r>
    </w:p>
    <w:p>
      <w:pPr>
        <w:pStyle w:val="Heading1"/>
        <w:keepNext/>
      </w:pPr>
      <w:r>
        <w:t>14. Reporting and exports</w:t>
      </w:r>
    </w:p>
    <w:p>
      <w:pPr>
        <w:keepNext/>
        <w:keepLines/>
        <w:widowControl/>
        <w:spacing w:before="40" w:after="40" w:line="264" w:lineRule="auto"/>
      </w:pPr>
      <w:r>
        <w:rPr>
          <w:rFonts w:ascii="Calibri" w:hAnsi="Calibri" w:eastAsia="Calibri"/>
          <w:b/>
          <w:color w:val="245986"/>
        </w:rPr>
        <w:t xml:space="preserve">REP-001  </w:t>
      </w:r>
      <w:r>
        <w:rPr>
          <w:rFonts w:ascii="Calibri" w:hAnsi="Calibri" w:eastAsia="Calibri"/>
        </w:rPr>
        <w:t>Provide a report registry with stable report ID, permission, parameters, result schema and data-source implementation.</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Unknown or unauthorized reports cannot be executed.</w:t>
      </w:r>
    </w:p>
    <w:p>
      <w:pPr>
        <w:keepNext/>
        <w:keepLines/>
        <w:widowControl/>
        <w:spacing w:before="40" w:after="40" w:line="264" w:lineRule="auto"/>
      </w:pPr>
      <w:r>
        <w:rPr>
          <w:rFonts w:ascii="Calibri" w:hAnsi="Calibri" w:eastAsia="Calibri"/>
          <w:b/>
          <w:color w:val="245986"/>
        </w:rPr>
        <w:t xml:space="preserve">REP-002  </w:t>
      </w:r>
      <w:r>
        <w:rPr>
          <w:rFonts w:ascii="Calibri" w:hAnsi="Calibri" w:eastAsia="Calibri"/>
        </w:rPr>
        <w:t>Provide dashboard metric APIs with tenant, date-range and organization-unit filters.</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Every aggregation pipeline receives enforced tenant filtering.</w:t>
      </w:r>
    </w:p>
    <w:p>
      <w:pPr>
        <w:keepNext/>
        <w:keepLines/>
        <w:widowControl/>
        <w:spacing w:before="40" w:after="40" w:line="264" w:lineRule="auto"/>
      </w:pPr>
      <w:r>
        <w:rPr>
          <w:rFonts w:ascii="Calibri" w:hAnsi="Calibri" w:eastAsia="Calibri"/>
          <w:b/>
          <w:color w:val="245986"/>
        </w:rPr>
        <w:t xml:space="preserve">REP-003  </w:t>
      </w:r>
      <w:r>
        <w:rPr>
          <w:rFonts w:ascii="Calibri" w:hAnsi="Calibri" w:eastAsia="Calibri"/>
        </w:rPr>
        <w:t>Allow saved report views, filters and column selections per user or tenant.</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A saved view cannot reference disallowed fields.</w:t>
      </w:r>
    </w:p>
    <w:p>
      <w:pPr>
        <w:keepNext/>
        <w:keepLines/>
        <w:widowControl/>
        <w:spacing w:before="40" w:after="40" w:line="264" w:lineRule="auto"/>
      </w:pPr>
      <w:r>
        <w:rPr>
          <w:rFonts w:ascii="Calibri" w:hAnsi="Calibri" w:eastAsia="Calibri"/>
          <w:b/>
          <w:color w:val="245986"/>
        </w:rPr>
        <w:t xml:space="preserve">REP-004  </w:t>
      </w:r>
      <w:r>
        <w:rPr>
          <w:rFonts w:ascii="Calibri" w:hAnsi="Calibri" w:eastAsia="Calibri"/>
        </w:rPr>
        <w:t>Run large reports and CSV/XLSX/PDF exports asynchronously through BullMQ and object storage.</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API returns a job ID; completion notification includes a time-limited download.</w:t>
      </w:r>
    </w:p>
    <w:p>
      <w:pPr>
        <w:keepNext/>
        <w:keepLines/>
        <w:widowControl/>
        <w:spacing w:before="40" w:after="40" w:line="264" w:lineRule="auto"/>
      </w:pPr>
      <w:r>
        <w:rPr>
          <w:rFonts w:ascii="Calibri" w:hAnsi="Calibri" w:eastAsia="Calibri"/>
          <w:b/>
          <w:color w:val="245986"/>
        </w:rPr>
        <w:t xml:space="preserve">REP-005  </w:t>
      </w:r>
      <w:r>
        <w:rPr>
          <w:rFonts w:ascii="Calibri" w:hAnsi="Calibri" w:eastAsia="Calibri"/>
        </w:rPr>
        <w:t>Support scheduled reports with recipient, channel, tenant time zone and retention.</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Schedules are idempotent and respect recipient permissions at execution time.</w:t>
      </w:r>
    </w:p>
    <w:p>
      <w:pPr>
        <w:keepNext/>
        <w:keepLines/>
        <w:widowControl/>
        <w:spacing w:before="40" w:after="40" w:line="264" w:lineRule="auto"/>
      </w:pPr>
      <w:r>
        <w:rPr>
          <w:rFonts w:ascii="Calibri" w:hAnsi="Calibri" w:eastAsia="Calibri"/>
          <w:b/>
          <w:color w:val="245986"/>
        </w:rPr>
        <w:t xml:space="preserve">REP-006  </w:t>
      </w:r>
      <w:r>
        <w:rPr>
          <w:rFonts w:ascii="Calibri" w:hAnsi="Calibri" w:eastAsia="Calibri"/>
        </w:rPr>
        <w:t>Prevent raw client-supplied MongoDB pipelines, JavaScript expressions or unrestricted field projection.</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Injection/security tests cannot execute arbitrary database operations.</w:t>
      </w:r>
    </w:p>
    <w:p>
      <w:pPr>
        <w:keepNext/>
        <w:keepLines/>
        <w:widowControl/>
        <w:spacing w:before="40" w:after="40" w:line="264" w:lineRule="auto"/>
      </w:pPr>
      <w:r>
        <w:rPr>
          <w:rFonts w:ascii="Calibri" w:hAnsi="Calibri" w:eastAsia="Calibri"/>
          <w:b/>
          <w:color w:val="245986"/>
        </w:rPr>
        <w:t xml:space="preserve">REP-007  </w:t>
      </w:r>
      <w:r>
        <w:rPr>
          <w:rFonts w:ascii="Calibri" w:hAnsi="Calibri" w:eastAsia="Calibri"/>
        </w:rPr>
        <w:t>Record report execution, filters, requester, duration, row count and export access in audit/activity logs.</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Administrative usage and performance analysis is available.</w:t>
      </w:r>
    </w:p>
    <w:p>
      <w:pPr>
        <w:pStyle w:val="Heading1"/>
        <w:keepNext/>
      </w:pPr>
      <w:r>
        <w:t>15. Communication and notifications</w:t>
      </w:r>
    </w:p>
    <w:p>
      <w:pPr>
        <w:keepNext w:val="0"/>
        <w:keepLines w:val="0"/>
        <w:widowControl/>
        <w:spacing w:before="0" w:after="120" w:line="264" w:lineRule="auto"/>
        <w:jc w:val="left"/>
      </w:pPr>
      <w:r>
        <w:rPr>
          <w:rFonts w:ascii="Calibri" w:hAnsi="Calibri" w:eastAsia="Calibri"/>
          <w:b w:val="0"/>
          <w:i w:val="0"/>
          <w:color w:val="172033"/>
          <w:sz w:val="22"/>
        </w:rPr>
        <w:t>Communication is always included through four channels: in-app, provider email, SMS and mobile/web push.</w:t>
      </w:r>
    </w:p>
    <w:p>
      <w:pPr>
        <w:keepNext/>
        <w:keepLines/>
        <w:widowControl/>
        <w:spacing w:before="40" w:after="40" w:line="264" w:lineRule="auto"/>
      </w:pPr>
      <w:r>
        <w:rPr>
          <w:rFonts w:ascii="Calibri" w:hAnsi="Calibri" w:eastAsia="Calibri"/>
          <w:b/>
          <w:color w:val="245986"/>
        </w:rPr>
        <w:t xml:space="preserve">COM-001  </w:t>
      </w:r>
      <w:r>
        <w:rPr>
          <w:rFonts w:ascii="Calibri" w:hAnsi="Calibri" w:eastAsia="Calibri"/>
        </w:rPr>
        <w:t>Provide channel-neutral NotificationService and provider adapters; domain modules submit intent rather than call vendors.</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Swapping a provider does not change domain module code.</w:t>
      </w:r>
    </w:p>
    <w:p>
      <w:pPr>
        <w:keepNext/>
        <w:keepLines/>
        <w:widowControl/>
        <w:spacing w:before="40" w:after="40" w:line="264" w:lineRule="auto"/>
      </w:pPr>
      <w:r>
        <w:rPr>
          <w:rFonts w:ascii="Calibri" w:hAnsi="Calibri" w:eastAsia="Calibri"/>
          <w:b/>
          <w:color w:val="245986"/>
        </w:rPr>
        <w:t xml:space="preserve">COM-002  </w:t>
      </w:r>
      <w:r>
        <w:rPr>
          <w:rFonts w:ascii="Calibri" w:hAnsi="Calibri" w:eastAsia="Calibri"/>
        </w:rPr>
        <w:t>Provide versioned templates with subject/title, body, variables, locale, tenant override and preview.</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Missing or unsafe variables fail validation before send.</w:t>
      </w:r>
    </w:p>
    <w:p>
      <w:pPr>
        <w:keepNext/>
        <w:keepLines/>
        <w:widowControl/>
        <w:spacing w:before="40" w:after="40" w:line="264" w:lineRule="auto"/>
      </w:pPr>
      <w:r>
        <w:rPr>
          <w:rFonts w:ascii="Calibri" w:hAnsi="Calibri" w:eastAsia="Calibri"/>
          <w:b/>
          <w:color w:val="245986"/>
        </w:rPr>
        <w:t xml:space="preserve">COM-003  </w:t>
      </w:r>
      <w:r>
        <w:rPr>
          <w:rFonts w:ascii="Calibri" w:hAnsi="Calibri" w:eastAsia="Calibri"/>
        </w:rPr>
        <w:t>Provide in-app notification inbox with unread count, read/unread, category, deep-link metadata and retention.</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Users can view only notifications addressed to them.</w:t>
      </w:r>
    </w:p>
    <w:p>
      <w:pPr>
        <w:keepNext/>
        <w:keepLines/>
        <w:widowControl/>
        <w:spacing w:before="40" w:after="40" w:line="264" w:lineRule="auto"/>
      </w:pPr>
      <w:r>
        <w:rPr>
          <w:rFonts w:ascii="Calibri" w:hAnsi="Calibri" w:eastAsia="Calibri"/>
          <w:b/>
          <w:color w:val="245986"/>
        </w:rPr>
        <w:t xml:space="preserve">COM-004  </w:t>
      </w:r>
      <w:r>
        <w:rPr>
          <w:rFonts w:ascii="Calibri" w:hAnsi="Calibri" w:eastAsia="Calibri"/>
        </w:rPr>
        <w:t>Provide email delivery through a configured provider/SMTP adapter and a local capture/mock adapter.</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Local startup sends no real email and exposes test delivery records.</w:t>
      </w:r>
    </w:p>
    <w:p>
      <w:pPr>
        <w:keepNext/>
        <w:keepLines/>
        <w:widowControl/>
        <w:spacing w:before="40" w:after="40" w:line="264" w:lineRule="auto"/>
      </w:pPr>
      <w:r>
        <w:rPr>
          <w:rFonts w:ascii="Calibri" w:hAnsi="Calibri" w:eastAsia="Calibri"/>
          <w:b/>
          <w:color w:val="245986"/>
        </w:rPr>
        <w:t xml:space="preserve">COM-005  </w:t>
      </w:r>
      <w:r>
        <w:rPr>
          <w:rFonts w:ascii="Calibri" w:hAnsi="Calibri" w:eastAsia="Calibri"/>
        </w:rPr>
        <w:t>Provide SMS adapter contract with opt-out/suppression handling and a mock adapter.</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Suppressed recipients are not contacted.</w:t>
      </w:r>
    </w:p>
    <w:p>
      <w:pPr>
        <w:keepNext/>
        <w:keepLines/>
        <w:widowControl/>
        <w:spacing w:before="40" w:after="40" w:line="264" w:lineRule="auto"/>
      </w:pPr>
      <w:r>
        <w:rPr>
          <w:rFonts w:ascii="Calibri" w:hAnsi="Calibri" w:eastAsia="Calibri"/>
          <w:b/>
          <w:color w:val="245986"/>
        </w:rPr>
        <w:t xml:space="preserve">COM-006  </w:t>
      </w:r>
      <w:r>
        <w:rPr>
          <w:rFonts w:ascii="Calibri" w:hAnsi="Calibri" w:eastAsia="Calibri"/>
        </w:rPr>
        <w:t>Provide push registration for device tokens and an FCM/APNs-compatible adapter boundary.</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Invalid tokens are disabled after provider feedback.</w:t>
      </w:r>
    </w:p>
    <w:p>
      <w:pPr>
        <w:keepNext/>
        <w:keepLines/>
        <w:widowControl/>
        <w:spacing w:before="40" w:after="40" w:line="264" w:lineRule="auto"/>
      </w:pPr>
      <w:r>
        <w:rPr>
          <w:rFonts w:ascii="Calibri" w:hAnsi="Calibri" w:eastAsia="Calibri"/>
          <w:b/>
          <w:color w:val="245986"/>
        </w:rPr>
        <w:t xml:space="preserve">COM-007  </w:t>
      </w:r>
      <w:r>
        <w:rPr>
          <w:rFonts w:ascii="Calibri" w:hAnsi="Calibri" w:eastAsia="Calibri"/>
        </w:rPr>
        <w:t>Respect user preferences, mandatory transactional categories, quiet hours and tenant policies.</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Marketing/optional notifications follow consent while required security messages still deliver.</w:t>
      </w:r>
    </w:p>
    <w:p>
      <w:pPr>
        <w:keepNext/>
        <w:keepLines/>
        <w:widowControl/>
        <w:spacing w:before="40" w:after="40" w:line="264" w:lineRule="auto"/>
      </w:pPr>
      <w:r>
        <w:rPr>
          <w:rFonts w:ascii="Calibri" w:hAnsi="Calibri" w:eastAsia="Calibri"/>
          <w:b/>
          <w:color w:val="245986"/>
        </w:rPr>
        <w:t xml:space="preserve">COM-008  </w:t>
      </w:r>
      <w:r>
        <w:rPr>
          <w:rFonts w:ascii="Calibri" w:hAnsi="Calibri" w:eastAsia="Calibri"/>
        </w:rPr>
        <w:t>Track queued, sent, delivered, failed, bounced and suppressed states with provider message IDs.</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Support can trace each attempt without exposing message secrets.</w:t>
      </w:r>
    </w:p>
    <w:p>
      <w:pPr>
        <w:keepNext/>
        <w:keepLines/>
        <w:widowControl/>
        <w:spacing w:before="40" w:after="40" w:line="264" w:lineRule="auto"/>
      </w:pPr>
      <w:r>
        <w:rPr>
          <w:rFonts w:ascii="Calibri" w:hAnsi="Calibri" w:eastAsia="Calibri"/>
          <w:b/>
          <w:color w:val="245986"/>
        </w:rPr>
        <w:t xml:space="preserve">COM-009  </w:t>
      </w:r>
      <w:r>
        <w:rPr>
          <w:rFonts w:ascii="Calibri" w:hAnsi="Calibri" w:eastAsia="Calibri"/>
        </w:rPr>
        <w:t>Retry transient failures with exponential backoff and move exhausted deliveries to a dead-letter state.</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Retries create no duplicate in-app records or provider sends when provider idempotency is available.</w:t>
      </w:r>
    </w:p>
    <w:p>
      <w:pPr>
        <w:pStyle w:val="Heading1"/>
        <w:keepNext/>
      </w:pPr>
      <w:r>
        <w:t>16. Audit and activity history</w:t>
      </w:r>
    </w:p>
    <w:p>
      <w:pPr>
        <w:keepNext/>
        <w:keepLines/>
        <w:widowControl/>
        <w:spacing w:before="40" w:after="40" w:line="264" w:lineRule="auto"/>
      </w:pPr>
      <w:r>
        <w:rPr>
          <w:rFonts w:ascii="Calibri" w:hAnsi="Calibri" w:eastAsia="Calibri"/>
          <w:b/>
          <w:color w:val="245986"/>
        </w:rPr>
        <w:t xml:space="preserve">AUD-001  </w:t>
      </w:r>
      <w:r>
        <w:rPr>
          <w:rFonts w:ascii="Calibri" w:hAnsi="Calibri" w:eastAsia="Calibri"/>
        </w:rPr>
        <w:t>Write append-only audit events for authentication, authorization, administration, data changes, billing, payment, provider and security actions.</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Protected audit events cannot be updated or deleted through application APIs.</w:t>
      </w:r>
    </w:p>
    <w:p>
      <w:pPr>
        <w:keepNext/>
        <w:keepLines/>
        <w:widowControl/>
        <w:spacing w:before="40" w:after="40" w:line="264" w:lineRule="auto"/>
      </w:pPr>
      <w:r>
        <w:rPr>
          <w:rFonts w:ascii="Calibri" w:hAnsi="Calibri" w:eastAsia="Calibri"/>
          <w:b/>
          <w:color w:val="245986"/>
        </w:rPr>
        <w:t xml:space="preserve">AUD-002  </w:t>
      </w:r>
      <w:r>
        <w:rPr>
          <w:rFonts w:ascii="Calibri" w:hAnsi="Calibri" w:eastAsia="Calibri"/>
        </w:rPr>
        <w:t>Capture tenant, organization scope, actor, action, entity, record, timestamp, requestId, source, reason and sanitized before/after values.</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Each sensitive mutation has sufficient context for investigation.</w:t>
      </w:r>
    </w:p>
    <w:p>
      <w:pPr>
        <w:keepNext/>
        <w:keepLines/>
        <w:widowControl/>
        <w:spacing w:before="40" w:after="40" w:line="264" w:lineRule="auto"/>
      </w:pPr>
      <w:r>
        <w:rPr>
          <w:rFonts w:ascii="Calibri" w:hAnsi="Calibri" w:eastAsia="Calibri"/>
          <w:b/>
          <w:color w:val="245986"/>
        </w:rPr>
        <w:t xml:space="preserve">AUD-003  </w:t>
      </w:r>
      <w:r>
        <w:rPr>
          <w:rFonts w:ascii="Calibri" w:hAnsi="Calibri" w:eastAsia="Calibri"/>
        </w:rPr>
        <w:t>Redact secrets, access tokens, password hashes, payment signatures and configured sensitive fields.</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Automated tests confirm restricted fields never enter audit payloads.</w:t>
      </w:r>
    </w:p>
    <w:p>
      <w:pPr>
        <w:keepNext/>
        <w:keepLines/>
        <w:widowControl/>
        <w:spacing w:before="40" w:after="40" w:line="264" w:lineRule="auto"/>
      </w:pPr>
      <w:r>
        <w:rPr>
          <w:rFonts w:ascii="Calibri" w:hAnsi="Calibri" w:eastAsia="Calibri"/>
          <w:b/>
          <w:color w:val="245986"/>
        </w:rPr>
        <w:t xml:space="preserve">AUD-004  </w:t>
      </w:r>
      <w:r>
        <w:rPr>
          <w:rFonts w:ascii="Calibri" w:hAnsi="Calibri" w:eastAsia="Calibri"/>
        </w:rPr>
        <w:t>Provide entity activity timelines derived from authorized audit/domain events.</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Users see only events for records they can access.</w:t>
      </w:r>
    </w:p>
    <w:p>
      <w:pPr>
        <w:keepNext/>
        <w:keepLines/>
        <w:widowControl/>
        <w:spacing w:before="40" w:after="40" w:line="264" w:lineRule="auto"/>
      </w:pPr>
      <w:r>
        <w:rPr>
          <w:rFonts w:ascii="Calibri" w:hAnsi="Calibri" w:eastAsia="Calibri"/>
          <w:b/>
          <w:color w:val="245986"/>
        </w:rPr>
        <w:t xml:space="preserve">AUD-005  </w:t>
      </w:r>
      <w:r>
        <w:rPr>
          <w:rFonts w:ascii="Calibri" w:hAnsi="Calibri" w:eastAsia="Calibri"/>
        </w:rPr>
        <w:t>Support configurable retention and export; where compliance requires, archive signed/hash-chained batches to versioned object storage.</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Tampering or gaps can be detected for archived batches.</w:t>
      </w:r>
    </w:p>
    <w:p>
      <w:pPr>
        <w:keepNext/>
        <w:keepLines/>
        <w:widowControl/>
        <w:spacing w:before="40" w:after="40" w:line="264" w:lineRule="auto"/>
      </w:pPr>
      <w:r>
        <w:rPr>
          <w:rFonts w:ascii="Calibri" w:hAnsi="Calibri" w:eastAsia="Calibri"/>
          <w:b/>
          <w:color w:val="245986"/>
        </w:rPr>
        <w:t xml:space="preserve">AUD-006  </w:t>
      </w:r>
      <w:r>
        <w:rPr>
          <w:rFonts w:ascii="Calibri" w:hAnsi="Calibri" w:eastAsia="Calibri"/>
        </w:rPr>
        <w:t>Record privileged read/export events in addition to writes.</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Sensitive reports and downloads are attributable to a user and request.</w:t>
      </w:r>
    </w:p>
    <w:p>
      <w:pPr>
        <w:pStyle w:val="Heading1"/>
        <w:keepNext/>
      </w:pPr>
      <w:r>
        <w:t>17. Settings, feature flags and secrets</w:t>
      </w:r>
    </w:p>
    <w:p>
      <w:pPr>
        <w:keepNext/>
        <w:keepLines/>
        <w:widowControl/>
        <w:spacing w:before="40" w:after="40" w:line="264" w:lineRule="auto"/>
      </w:pPr>
      <w:r>
        <w:rPr>
          <w:rFonts w:ascii="Calibri" w:hAnsi="Calibri" w:eastAsia="Calibri"/>
          <w:b/>
          <w:color w:val="245986"/>
        </w:rPr>
        <w:t xml:space="preserve">CFG-001  </w:t>
      </w:r>
      <w:r>
        <w:rPr>
          <w:rFonts w:ascii="Calibri" w:hAnsi="Calibri" w:eastAsia="Calibri"/>
        </w:rPr>
        <w:t>Provide typed settings at platform, tenant and user scopes with documented precedence.</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Invalid keys/types fail validation and do not start or save.</w:t>
      </w:r>
    </w:p>
    <w:p>
      <w:pPr>
        <w:keepNext/>
        <w:keepLines/>
        <w:widowControl/>
        <w:spacing w:before="40" w:after="40" w:line="264" w:lineRule="auto"/>
      </w:pPr>
      <w:r>
        <w:rPr>
          <w:rFonts w:ascii="Calibri" w:hAnsi="Calibri" w:eastAsia="Calibri"/>
          <w:b/>
          <w:color w:val="245986"/>
        </w:rPr>
        <w:t xml:space="preserve">CFG-002  </w:t>
      </w:r>
      <w:r>
        <w:rPr>
          <w:rFonts w:ascii="Calibri" w:hAnsi="Calibri" w:eastAsia="Calibri"/>
        </w:rPr>
        <w:t>Version configuration changes and audit actor, timestamp, old value and new value.</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A prior non-secret configuration version can be inspected and restored.</w:t>
      </w:r>
    </w:p>
    <w:p>
      <w:pPr>
        <w:keepNext/>
        <w:keepLines/>
        <w:widowControl/>
        <w:spacing w:before="40" w:after="40" w:line="264" w:lineRule="auto"/>
      </w:pPr>
      <w:r>
        <w:rPr>
          <w:rFonts w:ascii="Calibri" w:hAnsi="Calibri" w:eastAsia="Calibri"/>
          <w:b/>
          <w:color w:val="245986"/>
        </w:rPr>
        <w:t xml:space="preserve">CFG-003  </w:t>
      </w:r>
      <w:r>
        <w:rPr>
          <w:rFonts w:ascii="Calibri" w:hAnsi="Calibri" w:eastAsia="Calibri"/>
        </w:rPr>
        <w:t>Provide feature flags with platform default, tenant override and optional percentage/user targeting.</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Flag evaluation is deterministic and tenant-scoped.</w:t>
      </w:r>
    </w:p>
    <w:p>
      <w:pPr>
        <w:keepNext/>
        <w:keepLines/>
        <w:widowControl/>
        <w:spacing w:before="40" w:after="40" w:line="264" w:lineRule="auto"/>
      </w:pPr>
      <w:r>
        <w:rPr>
          <w:rFonts w:ascii="Calibri" w:hAnsi="Calibri" w:eastAsia="Calibri"/>
          <w:b/>
          <w:color w:val="245986"/>
        </w:rPr>
        <w:t xml:space="preserve">CFG-004  </w:t>
      </w:r>
      <w:r>
        <w:rPr>
          <w:rFonts w:ascii="Calibri" w:hAnsi="Calibri" w:eastAsia="Calibri"/>
        </w:rPr>
        <w:t>Store secret references rather than plaintext provider secrets in general settings documents.</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Secret values are write-only through the application and redacted from logs/responses.</w:t>
      </w:r>
    </w:p>
    <w:p>
      <w:pPr>
        <w:keepNext/>
        <w:keepLines/>
        <w:widowControl/>
        <w:spacing w:before="40" w:after="40" w:line="264" w:lineRule="auto"/>
      </w:pPr>
      <w:r>
        <w:rPr>
          <w:rFonts w:ascii="Calibri" w:hAnsi="Calibri" w:eastAsia="Calibri"/>
          <w:b/>
          <w:color w:val="245986"/>
        </w:rPr>
        <w:t xml:space="preserve">CFG-005  </w:t>
      </w:r>
      <w:r>
        <w:rPr>
          <w:rFonts w:ascii="Calibri" w:hAnsi="Calibri" w:eastAsia="Calibri"/>
        </w:rPr>
        <w:t>Provide provider connection-test actions that return sanitized diagnostics.</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Tests confirm connectivity without persisting or exposing secret values.</w:t>
      </w:r>
    </w:p>
    <w:p>
      <w:pPr>
        <w:keepNext/>
        <w:keepLines/>
        <w:widowControl/>
        <w:spacing w:before="40" w:after="40" w:line="264" w:lineRule="auto"/>
      </w:pPr>
      <w:r>
        <w:rPr>
          <w:rFonts w:ascii="Calibri" w:hAnsi="Calibri" w:eastAsia="Calibri"/>
          <w:b/>
          <w:color w:val="245986"/>
        </w:rPr>
        <w:t xml:space="preserve">CFG-006  </w:t>
      </w:r>
      <w:r>
        <w:rPr>
          <w:rFonts w:ascii="Calibri" w:hAnsi="Calibri" w:eastAsia="Calibri"/>
        </w:rPr>
        <w:t>Validate the complete project configuration against a versioned schema during generation and startup.</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Unknown mandatory values or incompatible combinations fail fast with actionable errors.</w:t>
      </w:r>
    </w:p>
    <w:p>
      <w:pPr>
        <w:pStyle w:val="Heading1"/>
        <w:keepNext/>
      </w:pPr>
      <w:r>
        <w:t>18. API, integration and webhook foundation</w:t>
      </w:r>
    </w:p>
    <w:p>
      <w:pPr>
        <w:keepNext/>
        <w:keepLines/>
        <w:widowControl/>
        <w:spacing w:before="40" w:after="40" w:line="264" w:lineRule="auto"/>
      </w:pPr>
      <w:r>
        <w:rPr>
          <w:rFonts w:ascii="Calibri" w:hAnsi="Calibri" w:eastAsia="Calibri"/>
          <w:b/>
          <w:color w:val="245986"/>
        </w:rPr>
        <w:t xml:space="preserve">API-001  </w:t>
      </w:r>
      <w:r>
        <w:rPr>
          <w:rFonts w:ascii="Calibri" w:hAnsi="Calibri" w:eastAsia="Calibri"/>
        </w:rPr>
        <w:t>Expose versioned REST endpoints under /api/v1 and publish OpenAPI documentation from the same DTO definitions.</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OpenAPI generation is part of CI and has no undocumented public endpoints.</w:t>
      </w:r>
    </w:p>
    <w:p>
      <w:pPr>
        <w:keepNext/>
        <w:keepLines/>
        <w:widowControl/>
        <w:spacing w:before="40" w:after="40" w:line="264" w:lineRule="auto"/>
      </w:pPr>
      <w:r>
        <w:rPr>
          <w:rFonts w:ascii="Calibri" w:hAnsi="Calibri" w:eastAsia="Calibri"/>
          <w:b/>
          <w:color w:val="245986"/>
        </w:rPr>
        <w:t xml:space="preserve">API-002  </w:t>
      </w:r>
      <w:r>
        <w:rPr>
          <w:rFonts w:ascii="Calibri" w:hAnsi="Calibri" w:eastAsia="Calibri"/>
        </w:rPr>
        <w:t>Use a standard success envelope for lists and a standard error envelope for failures.</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Pagination metadata and error codes are consistent across modules.</w:t>
      </w:r>
    </w:p>
    <w:p>
      <w:pPr>
        <w:keepNext/>
        <w:keepLines/>
        <w:widowControl/>
        <w:spacing w:before="40" w:after="40" w:line="264" w:lineRule="auto"/>
      </w:pPr>
      <w:r>
        <w:rPr>
          <w:rFonts w:ascii="Calibri" w:hAnsi="Calibri" w:eastAsia="Calibri"/>
          <w:b/>
          <w:color w:val="245986"/>
        </w:rPr>
        <w:t xml:space="preserve">API-003  </w:t>
      </w:r>
      <w:r>
        <w:rPr>
          <w:rFonts w:ascii="Calibri" w:hAnsi="Calibri" w:eastAsia="Calibri"/>
        </w:rPr>
        <w:t>Support cursor pagination for large/volatile collections and offset pagination only where stable and bounded.</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Pagination does not duplicate or omit records in the documented scenario.</w:t>
      </w:r>
    </w:p>
    <w:p>
      <w:pPr>
        <w:keepNext/>
        <w:keepLines/>
        <w:widowControl/>
        <w:spacing w:before="40" w:after="40" w:line="264" w:lineRule="auto"/>
      </w:pPr>
      <w:r>
        <w:rPr>
          <w:rFonts w:ascii="Calibri" w:hAnsi="Calibri" w:eastAsia="Calibri"/>
          <w:b/>
          <w:color w:val="245986"/>
        </w:rPr>
        <w:t xml:space="preserve">API-004  </w:t>
      </w:r>
      <w:r>
        <w:rPr>
          <w:rFonts w:ascii="Calibri" w:hAnsi="Calibri" w:eastAsia="Calibri"/>
        </w:rPr>
        <w:t>Provide API keys with hashed secret, tenant, scopes, expiry, last-used timestamp and rotation/revocation.</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The full key is shown once and cannot be recovered later.</w:t>
      </w:r>
    </w:p>
    <w:p>
      <w:pPr>
        <w:keepNext/>
        <w:keepLines/>
        <w:widowControl/>
        <w:spacing w:before="40" w:after="40" w:line="264" w:lineRule="auto"/>
      </w:pPr>
      <w:r>
        <w:rPr>
          <w:rFonts w:ascii="Calibri" w:hAnsi="Calibri" w:eastAsia="Calibri"/>
          <w:b/>
          <w:color w:val="245986"/>
        </w:rPr>
        <w:t xml:space="preserve">API-005  </w:t>
      </w:r>
      <w:r>
        <w:rPr>
          <w:rFonts w:ascii="Calibri" w:hAnsi="Calibri" w:eastAsia="Calibri"/>
        </w:rPr>
        <w:t>Provide outbound webhook subscriptions, signed delivery, retry, replay and delivery history.</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Consumers can verify signatures and a replay cannot create duplicate domain effects.</w:t>
      </w:r>
    </w:p>
    <w:p>
      <w:pPr>
        <w:keepNext/>
        <w:keepLines/>
        <w:widowControl/>
        <w:spacing w:before="40" w:after="40" w:line="264" w:lineRule="auto"/>
      </w:pPr>
      <w:r>
        <w:rPr>
          <w:rFonts w:ascii="Calibri" w:hAnsi="Calibri" w:eastAsia="Calibri"/>
          <w:b/>
          <w:color w:val="245986"/>
        </w:rPr>
        <w:t xml:space="preserve">API-006  </w:t>
      </w:r>
      <w:r>
        <w:rPr>
          <w:rFonts w:ascii="Calibri" w:hAnsi="Calibri" w:eastAsia="Calibri"/>
        </w:rPr>
        <w:t>Provide provider capability interfaces for payments, email, SMS, push and storage.</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Domain modules depend only on capability interfaces.</w:t>
      </w:r>
    </w:p>
    <w:p>
      <w:pPr>
        <w:keepNext/>
        <w:keepLines/>
        <w:widowControl/>
        <w:spacing w:before="40" w:after="40" w:line="264" w:lineRule="auto"/>
      </w:pPr>
      <w:r>
        <w:rPr>
          <w:rFonts w:ascii="Calibri" w:hAnsi="Calibri" w:eastAsia="Calibri"/>
          <w:b/>
          <w:color w:val="245986"/>
        </w:rPr>
        <w:t xml:space="preserve">API-007  </w:t>
      </w:r>
      <w:r>
        <w:rPr>
          <w:rFonts w:ascii="Calibri" w:hAnsi="Calibri" w:eastAsia="Calibri"/>
        </w:rPr>
        <w:t>Apply per-IP, per-user, per-tenant and per-API-key rate limits where relevant.</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Rate-limit responses include stable error and retry metadata.</w:t>
      </w:r>
    </w:p>
    <w:p>
      <w:pPr>
        <w:keepNext/>
        <w:keepLines/>
        <w:widowControl/>
        <w:spacing w:before="40" w:after="40" w:line="264" w:lineRule="auto"/>
      </w:pPr>
      <w:r>
        <w:rPr>
          <w:rFonts w:ascii="Calibri" w:hAnsi="Calibri" w:eastAsia="Calibri"/>
          <w:b/>
          <w:color w:val="245986"/>
        </w:rPr>
        <w:t xml:space="preserve">API-008  </w:t>
      </w:r>
      <w:r>
        <w:rPr>
          <w:rFonts w:ascii="Calibri" w:hAnsi="Calibri" w:eastAsia="Calibri"/>
        </w:rPr>
        <w:t>Support idempotency keys on documented POST actions and webhook consumers.</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Concurrent identical requests resolve to one effect.</w:t>
      </w:r>
    </w:p>
    <w:p>
      <w:pPr>
        <w:pStyle w:val="Heading1"/>
        <w:keepNext/>
      </w:pPr>
      <w:r>
        <w:t>19. Background processing</w:t>
      </w:r>
    </w:p>
    <w:p>
      <w:pPr>
        <w:keepNext/>
        <w:keepLines/>
        <w:widowControl/>
        <w:spacing w:before="40" w:after="40" w:line="264" w:lineRule="auto"/>
      </w:pPr>
      <w:r>
        <w:rPr>
          <w:rFonts w:ascii="Calibri" w:hAnsi="Calibri" w:eastAsia="Calibri"/>
          <w:b/>
          <w:color w:val="245986"/>
        </w:rPr>
        <w:t xml:space="preserve">JOB-001  </w:t>
      </w:r>
      <w:r>
        <w:rPr>
          <w:rFonts w:ascii="Calibri" w:hAnsi="Calibri" w:eastAsia="Calibri"/>
        </w:rPr>
        <w:t>Use BullMQ for email/SMS/push delivery, report export, billing runs, webhook delivery, reconciliation, imports and cleanup.</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Each queue has documented concurrency, timeout and retry policy.</w:t>
      </w:r>
    </w:p>
    <w:p>
      <w:pPr>
        <w:keepNext/>
        <w:keepLines/>
        <w:widowControl/>
        <w:spacing w:before="40" w:after="40" w:line="264" w:lineRule="auto"/>
      </w:pPr>
      <w:r>
        <w:rPr>
          <w:rFonts w:ascii="Calibri" w:hAnsi="Calibri" w:eastAsia="Calibri"/>
          <w:b/>
          <w:color w:val="245986"/>
        </w:rPr>
        <w:t xml:space="preserve">JOB-002  </w:t>
      </w:r>
      <w:r>
        <w:rPr>
          <w:rFonts w:ascii="Calibri" w:hAnsi="Calibri" w:eastAsia="Calibri"/>
        </w:rPr>
        <w:t>Include tenantId, requestId/correlationId, actor/source and idempotency key in job metadata.</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Worker logs and audit events retain end-to-end traceability.</w:t>
      </w:r>
    </w:p>
    <w:p>
      <w:pPr>
        <w:keepNext/>
        <w:keepLines/>
        <w:widowControl/>
        <w:spacing w:before="40" w:after="40" w:line="264" w:lineRule="auto"/>
      </w:pPr>
      <w:r>
        <w:rPr>
          <w:rFonts w:ascii="Calibri" w:hAnsi="Calibri" w:eastAsia="Calibri"/>
          <w:b/>
          <w:color w:val="245986"/>
        </w:rPr>
        <w:t xml:space="preserve">JOB-003  </w:t>
      </w:r>
      <w:r>
        <w:rPr>
          <w:rFonts w:ascii="Calibri" w:hAnsi="Calibri" w:eastAsia="Calibri"/>
        </w:rPr>
        <w:t>Make every job handler idempotent and safe for at-least-once delivery.</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Forced retry after partial completion creates no duplicate business effect.</w:t>
      </w:r>
    </w:p>
    <w:p>
      <w:pPr>
        <w:keepNext/>
        <w:keepLines/>
        <w:widowControl/>
        <w:spacing w:before="40" w:after="40" w:line="264" w:lineRule="auto"/>
      </w:pPr>
      <w:r>
        <w:rPr>
          <w:rFonts w:ascii="Calibri" w:hAnsi="Calibri" w:eastAsia="Calibri"/>
          <w:b/>
          <w:color w:val="245986"/>
        </w:rPr>
        <w:t xml:space="preserve">JOB-004  </w:t>
      </w:r>
      <w:r>
        <w:rPr>
          <w:rFonts w:ascii="Calibri" w:hAnsi="Calibri" w:eastAsia="Calibri"/>
        </w:rPr>
        <w:t>Provide exponential backoff, maximum attempts, dead-letter state and controlled replay.</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Platform administrators can inspect and retry eligible failures.</w:t>
      </w:r>
    </w:p>
    <w:p>
      <w:pPr>
        <w:keepNext/>
        <w:keepLines/>
        <w:widowControl/>
        <w:spacing w:before="40" w:after="40" w:line="264" w:lineRule="auto"/>
      </w:pPr>
      <w:r>
        <w:rPr>
          <w:rFonts w:ascii="Calibri" w:hAnsi="Calibri" w:eastAsia="Calibri"/>
          <w:b/>
          <w:color w:val="245986"/>
        </w:rPr>
        <w:t xml:space="preserve">JOB-005  </w:t>
      </w:r>
      <w:r>
        <w:rPr>
          <w:rFonts w:ascii="Calibri" w:hAnsi="Calibri" w:eastAsia="Calibri"/>
        </w:rPr>
        <w:t>Provide scheduled jobs with tenant time-zone awareness and distributed locking.</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Multiple workers do not execute the same schedule twice.</w:t>
      </w:r>
    </w:p>
    <w:p>
      <w:pPr>
        <w:keepNext/>
        <w:keepLines/>
        <w:widowControl/>
        <w:spacing w:before="40" w:after="40" w:line="264" w:lineRule="auto"/>
      </w:pPr>
      <w:r>
        <w:rPr>
          <w:rFonts w:ascii="Calibri" w:hAnsi="Calibri" w:eastAsia="Calibri"/>
          <w:b/>
          <w:color w:val="245986"/>
        </w:rPr>
        <w:t xml:space="preserve">JOB-006  </w:t>
      </w:r>
      <w:r>
        <w:rPr>
          <w:rFonts w:ascii="Calibri" w:hAnsi="Calibri" w:eastAsia="Calibri"/>
        </w:rPr>
        <w:t>Expose queue health, waiting/active/failed counts and oldest-job age to monitoring.</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Health and alert rules detect stalled workers.</w:t>
      </w:r>
    </w:p>
    <w:p>
      <w:pPr>
        <w:pStyle w:val="Heading1"/>
        <w:keepNext/>
      </w:pPr>
      <w:r>
        <w:t>20. Security, observability and operations</w:t>
      </w:r>
    </w:p>
    <w:p>
      <w:pPr>
        <w:keepNext/>
        <w:keepLines/>
        <w:widowControl/>
        <w:spacing w:before="40" w:after="40" w:line="264" w:lineRule="auto"/>
      </w:pPr>
      <w:r>
        <w:rPr>
          <w:rFonts w:ascii="Calibri" w:hAnsi="Calibri" w:eastAsia="Calibri"/>
          <w:b/>
          <w:color w:val="245986"/>
        </w:rPr>
        <w:t xml:space="preserve">SEC-001  </w:t>
      </w:r>
      <w:r>
        <w:rPr>
          <w:rFonts w:ascii="Calibri" w:hAnsi="Calibri" w:eastAsia="Calibri"/>
        </w:rPr>
        <w:t>Apply secure headers, CORS allowlists, payload limits, NoSQL injection protection and DTO whitelisting.</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Security tests cover common request manipulation and injection cases.</w:t>
      </w:r>
    </w:p>
    <w:p>
      <w:pPr>
        <w:keepNext/>
        <w:keepLines/>
        <w:widowControl/>
        <w:spacing w:before="40" w:after="40" w:line="264" w:lineRule="auto"/>
      </w:pPr>
      <w:r>
        <w:rPr>
          <w:rFonts w:ascii="Calibri" w:hAnsi="Calibri" w:eastAsia="Calibri"/>
          <w:b/>
          <w:color w:val="245986"/>
        </w:rPr>
        <w:t xml:space="preserve">SEC-002  </w:t>
      </w:r>
      <w:r>
        <w:rPr>
          <w:rFonts w:ascii="Calibri" w:hAnsi="Calibri" w:eastAsia="Calibri"/>
        </w:rPr>
        <w:t>Encrypt transport with TLS in deployed environments and support encryption at rest through managed MongoDB/storage capabilities.</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Production configuration rejects insecure public endpoints.</w:t>
      </w:r>
    </w:p>
    <w:p>
      <w:pPr>
        <w:keepNext/>
        <w:keepLines/>
        <w:widowControl/>
        <w:spacing w:before="40" w:after="40" w:line="264" w:lineRule="auto"/>
      </w:pPr>
      <w:r>
        <w:rPr>
          <w:rFonts w:ascii="Calibri" w:hAnsi="Calibri" w:eastAsia="Calibri"/>
          <w:b/>
          <w:color w:val="245986"/>
        </w:rPr>
        <w:t xml:space="preserve">SEC-003  </w:t>
      </w:r>
      <w:r>
        <w:rPr>
          <w:rFonts w:ascii="Calibri" w:hAnsi="Calibri" w:eastAsia="Calibri"/>
        </w:rPr>
        <w:t>Classify PII and secrets, redact structured logs and prohibit sensitive values in URLs.</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Log scans find no configured sensitive patterns.</w:t>
      </w:r>
    </w:p>
    <w:p>
      <w:pPr>
        <w:keepNext/>
        <w:keepLines/>
        <w:widowControl/>
        <w:spacing w:before="40" w:after="40" w:line="264" w:lineRule="auto"/>
      </w:pPr>
      <w:r>
        <w:rPr>
          <w:rFonts w:ascii="Calibri" w:hAnsi="Calibri" w:eastAsia="Calibri"/>
          <w:b/>
          <w:color w:val="245986"/>
        </w:rPr>
        <w:t xml:space="preserve">SEC-004  </w:t>
      </w:r>
      <w:r>
        <w:rPr>
          <w:rFonts w:ascii="Calibri" w:hAnsi="Calibri" w:eastAsia="Calibri"/>
        </w:rPr>
        <w:t>Run dependency, secret and container scanning in CI and block critical unresolved findings.</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Build policy produces a clear pass/fail result.</w:t>
      </w:r>
    </w:p>
    <w:p>
      <w:pPr>
        <w:keepNext/>
        <w:keepLines/>
        <w:widowControl/>
        <w:spacing w:before="40" w:after="40" w:line="264" w:lineRule="auto"/>
      </w:pPr>
      <w:r>
        <w:rPr>
          <w:rFonts w:ascii="Calibri" w:hAnsi="Calibri" w:eastAsia="Calibri"/>
          <w:b/>
          <w:color w:val="245986"/>
        </w:rPr>
        <w:t xml:space="preserve">OBS-001  </w:t>
      </w:r>
      <w:r>
        <w:rPr>
          <w:rFonts w:ascii="Calibri" w:hAnsi="Calibri" w:eastAsia="Calibri"/>
        </w:rPr>
        <w:t>Emit structured JSON logs with timestamp, level, service, environment, requestId, tenantId and safe actor identifier.</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Logs can be queried across API and worker by request/tenant.</w:t>
      </w:r>
    </w:p>
    <w:p>
      <w:pPr>
        <w:keepNext/>
        <w:keepLines/>
        <w:widowControl/>
        <w:spacing w:before="40" w:after="40" w:line="264" w:lineRule="auto"/>
      </w:pPr>
      <w:r>
        <w:rPr>
          <w:rFonts w:ascii="Calibri" w:hAnsi="Calibri" w:eastAsia="Calibri"/>
          <w:b/>
          <w:color w:val="245986"/>
        </w:rPr>
        <w:t xml:space="preserve">OBS-002  </w:t>
      </w:r>
      <w:r>
        <w:rPr>
          <w:rFonts w:ascii="Calibri" w:hAnsi="Calibri" w:eastAsia="Calibri"/>
        </w:rPr>
        <w:t>Emit metrics for request latency/error rate, MongoDB/Redis health, queue age/failures, provider failures, billing runs and webhook processing.</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Dashboards and alert thresholds are documented.</w:t>
      </w:r>
    </w:p>
    <w:p>
      <w:pPr>
        <w:keepNext/>
        <w:keepLines/>
        <w:widowControl/>
        <w:spacing w:before="40" w:after="40" w:line="264" w:lineRule="auto"/>
      </w:pPr>
      <w:r>
        <w:rPr>
          <w:rFonts w:ascii="Calibri" w:hAnsi="Calibri" w:eastAsia="Calibri"/>
          <w:b/>
          <w:color w:val="245986"/>
        </w:rPr>
        <w:t xml:space="preserve">OBS-003  </w:t>
      </w:r>
      <w:r>
        <w:rPr>
          <w:rFonts w:ascii="Calibri" w:hAnsi="Calibri" w:eastAsia="Calibri"/>
        </w:rPr>
        <w:t>Instrument API, database, queue and outbound provider calls with OpenTelemetry-compatible traces.</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A sampled request shows the complete distributed path.</w:t>
      </w:r>
    </w:p>
    <w:p>
      <w:pPr>
        <w:keepNext/>
        <w:keepLines/>
        <w:widowControl/>
        <w:spacing w:before="40" w:after="40" w:line="264" w:lineRule="auto"/>
      </w:pPr>
      <w:r>
        <w:rPr>
          <w:rFonts w:ascii="Calibri" w:hAnsi="Calibri" w:eastAsia="Calibri"/>
          <w:b/>
          <w:color w:val="245986"/>
        </w:rPr>
        <w:t xml:space="preserve">OPS-001  </w:t>
      </w:r>
      <w:r>
        <w:rPr>
          <w:rFonts w:ascii="Calibri" w:hAnsi="Calibri" w:eastAsia="Calibri"/>
        </w:rPr>
        <w:t>Expose liveness, readiness and dependency health endpoints without leaking credentials or internal details.</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Orchestrators can distinguish alive, ready and degraded states.</w:t>
      </w:r>
    </w:p>
    <w:p>
      <w:pPr>
        <w:keepNext/>
        <w:keepLines/>
        <w:widowControl/>
        <w:spacing w:before="40" w:after="40" w:line="264" w:lineRule="auto"/>
      </w:pPr>
      <w:r>
        <w:rPr>
          <w:rFonts w:ascii="Calibri" w:hAnsi="Calibri" w:eastAsia="Calibri"/>
          <w:b/>
          <w:color w:val="245986"/>
        </w:rPr>
        <w:t xml:space="preserve">OPS-002  </w:t>
      </w:r>
      <w:r>
        <w:rPr>
          <w:rFonts w:ascii="Calibri" w:hAnsi="Calibri" w:eastAsia="Calibri"/>
        </w:rPr>
        <w:t>Provide Docker Compose startup with MongoDB replica set, Redis, local object storage and mock communication/payment configuration.</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A clean machine starts the stack with one documented command.</w:t>
      </w:r>
    </w:p>
    <w:p>
      <w:pPr>
        <w:keepNext/>
        <w:keepLines/>
        <w:widowControl/>
        <w:spacing w:before="40" w:after="40" w:line="264" w:lineRule="auto"/>
      </w:pPr>
      <w:r>
        <w:rPr>
          <w:rFonts w:ascii="Calibri" w:hAnsi="Calibri" w:eastAsia="Calibri"/>
          <w:b/>
          <w:color w:val="245986"/>
        </w:rPr>
        <w:t xml:space="preserve">OPS-003  </w:t>
      </w:r>
      <w:r>
        <w:rPr>
          <w:rFonts w:ascii="Calibri" w:hAnsi="Calibri" w:eastAsia="Calibri"/>
        </w:rPr>
        <w:t>Provide automated backup configuration, restore instructions and periodic restore-test support.</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A test backup can be restored and verified in a non-production environment.</w:t>
      </w:r>
    </w:p>
    <w:p>
      <w:pPr>
        <w:keepNext/>
        <w:keepLines/>
        <w:widowControl/>
        <w:spacing w:before="40" w:after="40" w:line="264" w:lineRule="auto"/>
      </w:pPr>
      <w:r>
        <w:rPr>
          <w:rFonts w:ascii="Calibri" w:hAnsi="Calibri" w:eastAsia="Calibri"/>
          <w:b/>
          <w:color w:val="245986"/>
        </w:rPr>
        <w:t xml:space="preserve">OPS-004  </w:t>
      </w:r>
      <w:r>
        <w:rPr>
          <w:rFonts w:ascii="Calibri" w:hAnsi="Calibri" w:eastAsia="Calibri"/>
        </w:rPr>
        <w:t>Support graceful shutdown, request draining and worker job completion/return.</w:t>
      </w:r>
    </w:p>
    <w:p>
      <w:pPr>
        <w:keepNext w:val="0"/>
        <w:keepLines/>
        <w:widowControl/>
        <w:spacing w:before="0" w:after="140" w:line="264" w:lineRule="auto"/>
        <w:ind w:left="360"/>
      </w:pPr>
      <w:r>
        <w:rPr>
          <w:rFonts w:ascii="Calibri" w:hAnsi="Calibri" w:eastAsia="Calibri"/>
          <w:b/>
          <w:color w:val="667085"/>
          <w:sz w:val="19"/>
        </w:rPr>
        <w:t xml:space="preserve">Acceptance: </w:t>
      </w:r>
      <w:r>
        <w:rPr>
          <w:rFonts w:ascii="Calibri" w:hAnsi="Calibri" w:eastAsia="Calibri"/>
          <w:color w:val="667085"/>
          <w:sz w:val="19"/>
        </w:rPr>
        <w:t>Deployment restart does not corrupt writes or lose acknowledged jobs.</w:t>
      </w:r>
    </w:p>
    <w:p>
      <w:pPr>
        <w:pStyle w:val="Heading1"/>
        <w:keepNext/>
      </w:pPr>
      <w:r>
        <w:t>21. MongoDB data model and indexes</w:t>
      </w:r>
    </w:p>
    <w:p>
      <w:pPr>
        <w:keepNext w:val="0"/>
        <w:keepLines w:val="0"/>
        <w:widowControl/>
        <w:spacing w:before="0" w:after="120" w:line="264" w:lineRule="auto"/>
        <w:jc w:val="left"/>
      </w:pPr>
      <w:r>
        <w:rPr>
          <w:rFonts w:ascii="Calibri" w:hAnsi="Calibri" w:eastAsia="Calibri"/>
          <w:b w:val="0"/>
          <w:i w:val="0"/>
          <w:color w:val="172033"/>
          <w:sz w:val="22"/>
        </w:rPr>
        <w:t>The following collections form the minimum reusable data model. Client domain modules add separate collections but must inherit the same tenant, audit, indexing and repository standards.</w:t>
      </w:r>
    </w:p>
    <w:tbl>
      <w:tblPr>
        <w:tblStyle w:val="TableGrid"/>
        <w:tblW w:type="dxa" w:w="9360"/>
        <w:jc w:val="left"/>
        <w:tblLayout w:type="fixed"/>
        <w:tblLook w:firstColumn="1" w:firstRow="1" w:lastColumn="0" w:lastRow="0" w:noHBand="0" w:noVBand="1" w:val="04A0"/>
        <w:tblInd w:type="dxa" w:w="120"/>
      </w:tblPr>
      <w:tblGrid>
        <w:gridCol w:w="2400"/>
        <w:gridCol w:w="3400"/>
        <w:gridCol w:w="3560"/>
      </w:tblGrid>
      <w:tr>
        <w:trPr>
          <w:tblHeader w:val="true"/>
        </w:trPr>
        <w:tc>
          <w:tcPr>
            <w:tcW w:type="dxa" w:w="2400"/>
            <w:shd w:fill="0B2545"/>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40" w:lineRule="auto"/>
            </w:pPr>
            <w:r>
              <w:rPr>
                <w:rFonts w:ascii="Calibri" w:hAnsi="Calibri" w:eastAsia="Calibri"/>
                <w:b/>
                <w:color w:val="FFFFFF"/>
                <w:sz w:val="18"/>
              </w:rPr>
              <w:t>Collection</w:t>
            </w:r>
          </w:p>
        </w:tc>
        <w:tc>
          <w:tcPr>
            <w:tcW w:type="dxa" w:w="3400"/>
            <w:shd w:fill="0B2545"/>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40" w:lineRule="auto"/>
            </w:pPr>
            <w:r>
              <w:rPr>
                <w:rFonts w:ascii="Calibri" w:hAnsi="Calibri" w:eastAsia="Calibri"/>
                <w:b/>
                <w:color w:val="FFFFFF"/>
                <w:sz w:val="18"/>
              </w:rPr>
              <w:t>Purpose</w:t>
            </w:r>
          </w:p>
        </w:tc>
        <w:tc>
          <w:tcPr>
            <w:tcW w:type="dxa" w:w="3560"/>
            <w:shd w:fill="0B2545"/>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40" w:lineRule="auto"/>
            </w:pPr>
            <w:r>
              <w:rPr>
                <w:rFonts w:ascii="Calibri" w:hAnsi="Calibri" w:eastAsia="Calibri"/>
                <w:b/>
                <w:color w:val="FFFFFF"/>
                <w:sz w:val="18"/>
              </w:rPr>
              <w:t>Essential indexes</w:t>
            </w:r>
          </w:p>
        </w:tc>
      </w:tr>
      <w:tr>
        <w:trPr/>
        <w:tc>
          <w:tcPr>
            <w:tcW w:type="dxa" w:w="24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6"/>
              </w:rPr>
              <w:t>users</w:t>
            </w:r>
          </w:p>
        </w:tc>
        <w:tc>
          <w:tcPr>
            <w:tcW w:type="dxa" w:w="34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6"/>
              </w:rPr>
              <w:t>Global account identity and profile</w:t>
            </w:r>
          </w:p>
        </w:tc>
        <w:tc>
          <w:tcPr>
            <w:tcW w:type="dxa" w:w="356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6"/>
              </w:rPr>
              <w:t>Unique normalized email/phone where used; status</w:t>
            </w:r>
          </w:p>
        </w:tc>
      </w:tr>
      <w:tr>
        <w:trPr/>
        <w:tc>
          <w:tcPr>
            <w:tcW w:type="dxa" w:w="24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6"/>
              </w:rPr>
              <w:t>sessions</w:t>
            </w:r>
          </w:p>
        </w:tc>
        <w:tc>
          <w:tcPr>
            <w:tcW w:type="dxa" w:w="34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6"/>
              </w:rPr>
              <w:t>Refresh-token families and devices</w:t>
            </w:r>
          </w:p>
        </w:tc>
        <w:tc>
          <w:tcPr>
            <w:tcW w:type="dxa" w:w="356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6"/>
              </w:rPr>
              <w:t>userId + tokenHash; expiry TTL</w:t>
            </w:r>
          </w:p>
        </w:tc>
      </w:tr>
      <w:tr>
        <w:trPr/>
        <w:tc>
          <w:tcPr>
            <w:tcW w:type="dxa" w:w="24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6"/>
              </w:rPr>
              <w:t>tenants</w:t>
            </w:r>
          </w:p>
        </w:tc>
        <w:tc>
          <w:tcPr>
            <w:tcW w:type="dxa" w:w="34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6"/>
              </w:rPr>
              <w:t>Client tenant lifecycle and plan link</w:t>
            </w:r>
          </w:p>
        </w:tc>
        <w:tc>
          <w:tcPr>
            <w:tcW w:type="dxa" w:w="356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6"/>
              </w:rPr>
              <w:t>Unique slug; status</w:t>
            </w:r>
          </w:p>
        </w:tc>
      </w:tr>
      <w:tr>
        <w:trPr/>
        <w:tc>
          <w:tcPr>
            <w:tcW w:type="dxa" w:w="24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6"/>
              </w:rPr>
              <w:t>organization_units</w:t>
            </w:r>
          </w:p>
        </w:tc>
        <w:tc>
          <w:tcPr>
            <w:tcW w:type="dxa" w:w="34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6"/>
              </w:rPr>
              <w:t>Tenant hierarchy such as branch/department</w:t>
            </w:r>
          </w:p>
        </w:tc>
        <w:tc>
          <w:tcPr>
            <w:tcW w:type="dxa" w:w="356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6"/>
              </w:rPr>
              <w:t>tenantId + parentId + type; tenantId + code</w:t>
            </w:r>
          </w:p>
        </w:tc>
      </w:tr>
      <w:tr>
        <w:trPr/>
        <w:tc>
          <w:tcPr>
            <w:tcW w:type="dxa" w:w="24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6"/>
              </w:rPr>
              <w:t>memberships</w:t>
            </w:r>
          </w:p>
        </w:tc>
        <w:tc>
          <w:tcPr>
            <w:tcW w:type="dxa" w:w="34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6"/>
              </w:rPr>
              <w:t>User access to tenant/org scope</w:t>
            </w:r>
          </w:p>
        </w:tc>
        <w:tc>
          <w:tcPr>
            <w:tcW w:type="dxa" w:w="356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6"/>
              </w:rPr>
              <w:t>tenantId + userId + organizationUnitId + status</w:t>
            </w:r>
          </w:p>
        </w:tc>
      </w:tr>
      <w:tr>
        <w:trPr/>
        <w:tc>
          <w:tcPr>
            <w:tcW w:type="dxa" w:w="24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6"/>
              </w:rPr>
              <w:t>teams</w:t>
            </w:r>
          </w:p>
        </w:tc>
        <w:tc>
          <w:tcPr>
            <w:tcW w:type="dxa" w:w="34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6"/>
              </w:rPr>
              <w:t>Tenant team definitions</w:t>
            </w:r>
          </w:p>
        </w:tc>
        <w:tc>
          <w:tcPr>
            <w:tcW w:type="dxa" w:w="356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6"/>
              </w:rPr>
              <w:t>tenantId + normalizedName</w:t>
            </w:r>
          </w:p>
        </w:tc>
      </w:tr>
      <w:tr>
        <w:trPr/>
        <w:tc>
          <w:tcPr>
            <w:tcW w:type="dxa" w:w="24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6"/>
              </w:rPr>
              <w:t>team_members</w:t>
            </w:r>
          </w:p>
        </w:tc>
        <w:tc>
          <w:tcPr>
            <w:tcW w:type="dxa" w:w="34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6"/>
              </w:rPr>
              <w:t>Team membership</w:t>
            </w:r>
          </w:p>
        </w:tc>
        <w:tc>
          <w:tcPr>
            <w:tcW w:type="dxa" w:w="356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6"/>
              </w:rPr>
              <w:t>tenantId + teamId + userId</w:t>
            </w:r>
          </w:p>
        </w:tc>
      </w:tr>
      <w:tr>
        <w:trPr/>
        <w:tc>
          <w:tcPr>
            <w:tcW w:type="dxa" w:w="24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6"/>
              </w:rPr>
              <w:t>roles</w:t>
            </w:r>
          </w:p>
        </w:tc>
        <w:tc>
          <w:tcPr>
            <w:tcW w:type="dxa" w:w="34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6"/>
              </w:rPr>
              <w:t>System and tenant roles</w:t>
            </w:r>
          </w:p>
        </w:tc>
        <w:tc>
          <w:tcPr>
            <w:tcW w:type="dxa" w:w="356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6"/>
              </w:rPr>
              <w:t>tenantId/null + roleKey + version</w:t>
            </w:r>
          </w:p>
        </w:tc>
      </w:tr>
      <w:tr>
        <w:trPr/>
        <w:tc>
          <w:tcPr>
            <w:tcW w:type="dxa" w:w="24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6"/>
              </w:rPr>
              <w:t>role_assignments</w:t>
            </w:r>
          </w:p>
        </w:tc>
        <w:tc>
          <w:tcPr>
            <w:tcW w:type="dxa" w:w="34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6"/>
              </w:rPr>
              <w:t>Membership-to-role scope</w:t>
            </w:r>
          </w:p>
        </w:tc>
        <w:tc>
          <w:tcPr>
            <w:tcW w:type="dxa" w:w="356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6"/>
              </w:rPr>
              <w:t>tenantId + membershipId + roleId + scope</w:t>
            </w:r>
          </w:p>
        </w:tc>
      </w:tr>
      <w:tr>
        <w:trPr/>
        <w:tc>
          <w:tcPr>
            <w:tcW w:type="dxa" w:w="24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6"/>
              </w:rPr>
              <w:t>permissions</w:t>
            </w:r>
          </w:p>
        </w:tc>
        <w:tc>
          <w:tcPr>
            <w:tcW w:type="dxa" w:w="34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6"/>
              </w:rPr>
              <w:t>Platform permission catalogue</w:t>
            </w:r>
          </w:p>
        </w:tc>
        <w:tc>
          <w:tcPr>
            <w:tcW w:type="dxa" w:w="356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6"/>
              </w:rPr>
              <w:t>Unique permission key</w:t>
            </w:r>
          </w:p>
        </w:tc>
      </w:tr>
      <w:tr>
        <w:trPr/>
        <w:tc>
          <w:tcPr>
            <w:tcW w:type="dxa" w:w="24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6"/>
              </w:rPr>
              <w:t>invitations</w:t>
            </w:r>
          </w:p>
        </w:tc>
        <w:tc>
          <w:tcPr>
            <w:tcW w:type="dxa" w:w="34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6"/>
              </w:rPr>
              <w:t>Pending user invitations</w:t>
            </w:r>
          </w:p>
        </w:tc>
        <w:tc>
          <w:tcPr>
            <w:tcW w:type="dxa" w:w="356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6"/>
              </w:rPr>
              <w:t>tenantId + tokenHash; expiry TTL</w:t>
            </w:r>
          </w:p>
        </w:tc>
      </w:tr>
      <w:tr>
        <w:trPr/>
        <w:tc>
          <w:tcPr>
            <w:tcW w:type="dxa" w:w="24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6"/>
              </w:rPr>
              <w:t>api_keys</w:t>
            </w:r>
          </w:p>
        </w:tc>
        <w:tc>
          <w:tcPr>
            <w:tcW w:type="dxa" w:w="34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6"/>
              </w:rPr>
              <w:t>Scoped machine credentials</w:t>
            </w:r>
          </w:p>
        </w:tc>
        <w:tc>
          <w:tcPr>
            <w:tcW w:type="dxa" w:w="356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6"/>
              </w:rPr>
              <w:t>tenantId + prefix/hash; expiry</w:t>
            </w:r>
          </w:p>
        </w:tc>
      </w:tr>
      <w:tr>
        <w:trPr/>
        <w:tc>
          <w:tcPr>
            <w:tcW w:type="dxa" w:w="24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6"/>
              </w:rPr>
              <w:t>files</w:t>
            </w:r>
          </w:p>
        </w:tc>
        <w:tc>
          <w:tcPr>
            <w:tcW w:type="dxa" w:w="34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6"/>
              </w:rPr>
              <w:t>Object metadata and entity links</w:t>
            </w:r>
          </w:p>
        </w:tc>
        <w:tc>
          <w:tcPr>
            <w:tcW w:type="dxa" w:w="356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6"/>
              </w:rPr>
              <w:t>tenantId + entityType + entityId; checksum</w:t>
            </w:r>
          </w:p>
        </w:tc>
      </w:tr>
      <w:tr>
        <w:trPr/>
        <w:tc>
          <w:tcPr>
            <w:tcW w:type="dxa" w:w="24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6"/>
              </w:rPr>
              <w:t>plans</w:t>
            </w:r>
          </w:p>
        </w:tc>
        <w:tc>
          <w:tcPr>
            <w:tcW w:type="dxa" w:w="34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6"/>
              </w:rPr>
              <w:t>Versioned plans and prices</w:t>
            </w:r>
          </w:p>
        </w:tc>
        <w:tc>
          <w:tcPr>
            <w:tcW w:type="dxa" w:w="356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6"/>
              </w:rPr>
              <w:t>planKey + version + effectiveAt</w:t>
            </w:r>
          </w:p>
        </w:tc>
      </w:tr>
      <w:tr>
        <w:trPr/>
        <w:tc>
          <w:tcPr>
            <w:tcW w:type="dxa" w:w="24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6"/>
              </w:rPr>
              <w:t>subscriptions</w:t>
            </w:r>
          </w:p>
        </w:tc>
        <w:tc>
          <w:tcPr>
            <w:tcW w:type="dxa" w:w="34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6"/>
              </w:rPr>
              <w:t>Tenant subscription state</w:t>
            </w:r>
          </w:p>
        </w:tc>
        <w:tc>
          <w:tcPr>
            <w:tcW w:type="dxa" w:w="356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6"/>
              </w:rPr>
              <w:t>tenantId + status; providerSubscriptionId</w:t>
            </w:r>
          </w:p>
        </w:tc>
      </w:tr>
      <w:tr>
        <w:trPr/>
        <w:tc>
          <w:tcPr>
            <w:tcW w:type="dxa" w:w="24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6"/>
              </w:rPr>
              <w:t>usage_events</w:t>
            </w:r>
          </w:p>
        </w:tc>
        <w:tc>
          <w:tcPr>
            <w:tcW w:type="dxa" w:w="34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6"/>
              </w:rPr>
              <w:t>Immutable metered usage</w:t>
            </w:r>
          </w:p>
        </w:tc>
        <w:tc>
          <w:tcPr>
            <w:tcW w:type="dxa" w:w="356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6"/>
              </w:rPr>
              <w:t>tenantId + metric + idempotencyKey (unique)</w:t>
            </w:r>
          </w:p>
        </w:tc>
      </w:tr>
      <w:tr>
        <w:trPr/>
        <w:tc>
          <w:tcPr>
            <w:tcW w:type="dxa" w:w="24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6"/>
              </w:rPr>
              <w:t>credit_ledger</w:t>
            </w:r>
          </w:p>
        </w:tc>
        <w:tc>
          <w:tcPr>
            <w:tcW w:type="dxa" w:w="34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6"/>
              </w:rPr>
              <w:t>Append-only credit movements</w:t>
            </w:r>
          </w:p>
        </w:tc>
        <w:tc>
          <w:tcPr>
            <w:tcW w:type="dxa" w:w="356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6"/>
              </w:rPr>
              <w:t>tenantId + createdAt; sourceRef</w:t>
            </w:r>
          </w:p>
        </w:tc>
      </w:tr>
      <w:tr>
        <w:trPr/>
        <w:tc>
          <w:tcPr>
            <w:tcW w:type="dxa" w:w="24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6"/>
              </w:rPr>
              <w:t>invoices</w:t>
            </w:r>
          </w:p>
        </w:tc>
        <w:tc>
          <w:tcPr>
            <w:tcW w:type="dxa" w:w="34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6"/>
              </w:rPr>
              <w:t>Invoice headers and line snapshots</w:t>
            </w:r>
          </w:p>
        </w:tc>
        <w:tc>
          <w:tcPr>
            <w:tcW w:type="dxa" w:w="356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6"/>
              </w:rPr>
              <w:t>tenantId + invoiceNumber (unique)</w:t>
            </w:r>
          </w:p>
        </w:tc>
      </w:tr>
      <w:tr>
        <w:trPr/>
        <w:tc>
          <w:tcPr>
            <w:tcW w:type="dxa" w:w="24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6"/>
              </w:rPr>
              <w:t>payment_orders</w:t>
            </w:r>
          </w:p>
        </w:tc>
        <w:tc>
          <w:tcPr>
            <w:tcW w:type="dxa" w:w="34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6"/>
              </w:rPr>
              <w:t>Razorpay/local payable orders</w:t>
            </w:r>
          </w:p>
        </w:tc>
        <w:tc>
          <w:tcPr>
            <w:tcW w:type="dxa" w:w="356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6"/>
              </w:rPr>
              <w:t>tenantId + localOrderId; providerOrderId</w:t>
            </w:r>
          </w:p>
        </w:tc>
      </w:tr>
      <w:tr>
        <w:trPr/>
        <w:tc>
          <w:tcPr>
            <w:tcW w:type="dxa" w:w="24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6"/>
              </w:rPr>
              <w:t>payment_transactions</w:t>
            </w:r>
          </w:p>
        </w:tc>
        <w:tc>
          <w:tcPr>
            <w:tcW w:type="dxa" w:w="34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6"/>
              </w:rPr>
              <w:t>Payment attempts/captures/failures</w:t>
            </w:r>
          </w:p>
        </w:tc>
        <w:tc>
          <w:tcPr>
            <w:tcW w:type="dxa" w:w="356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6"/>
              </w:rPr>
              <w:t>tenantId + providerPaymentId</w:t>
            </w:r>
          </w:p>
        </w:tc>
      </w:tr>
      <w:tr>
        <w:trPr/>
        <w:tc>
          <w:tcPr>
            <w:tcW w:type="dxa" w:w="24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6"/>
              </w:rPr>
              <w:t>refunds</w:t>
            </w:r>
          </w:p>
        </w:tc>
        <w:tc>
          <w:tcPr>
            <w:tcW w:type="dxa" w:w="34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6"/>
              </w:rPr>
              <w:t>Full/partial refund records</w:t>
            </w:r>
          </w:p>
        </w:tc>
        <w:tc>
          <w:tcPr>
            <w:tcW w:type="dxa" w:w="356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6"/>
              </w:rPr>
              <w:t>tenantId + providerRefundId; idempotencyKey</w:t>
            </w:r>
          </w:p>
        </w:tc>
      </w:tr>
      <w:tr>
        <w:trPr/>
        <w:tc>
          <w:tcPr>
            <w:tcW w:type="dxa" w:w="24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6"/>
              </w:rPr>
              <w:t>webhook_events</w:t>
            </w:r>
          </w:p>
        </w:tc>
        <w:tc>
          <w:tcPr>
            <w:tcW w:type="dxa" w:w="34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6"/>
              </w:rPr>
              <w:t>Inbound provider event inbox</w:t>
            </w:r>
          </w:p>
        </w:tc>
        <w:tc>
          <w:tcPr>
            <w:tcW w:type="dxa" w:w="356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6"/>
              </w:rPr>
              <w:t>provider + accountScope + providerEventId (unique)</w:t>
            </w:r>
          </w:p>
        </w:tc>
      </w:tr>
      <w:tr>
        <w:trPr/>
        <w:tc>
          <w:tcPr>
            <w:tcW w:type="dxa" w:w="24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6"/>
              </w:rPr>
              <w:t>webhook_subscriptions</w:t>
            </w:r>
          </w:p>
        </w:tc>
        <w:tc>
          <w:tcPr>
            <w:tcW w:type="dxa" w:w="34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6"/>
              </w:rPr>
              <w:t>Outbound webhook configuration</w:t>
            </w:r>
          </w:p>
        </w:tc>
        <w:tc>
          <w:tcPr>
            <w:tcW w:type="dxa" w:w="356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6"/>
              </w:rPr>
              <w:t>tenantId + status + eventType</w:t>
            </w:r>
          </w:p>
        </w:tc>
      </w:tr>
      <w:tr>
        <w:trPr/>
        <w:tc>
          <w:tcPr>
            <w:tcW w:type="dxa" w:w="24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6"/>
              </w:rPr>
              <w:t>webhook_deliveries</w:t>
            </w:r>
          </w:p>
        </w:tc>
        <w:tc>
          <w:tcPr>
            <w:tcW w:type="dxa" w:w="34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6"/>
              </w:rPr>
              <w:t>Outbound delivery attempts</w:t>
            </w:r>
          </w:p>
        </w:tc>
        <w:tc>
          <w:tcPr>
            <w:tcW w:type="dxa" w:w="356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6"/>
              </w:rPr>
              <w:t>subscriptionId + eventId + attempt</w:t>
            </w:r>
          </w:p>
        </w:tc>
      </w:tr>
      <w:tr>
        <w:trPr/>
        <w:tc>
          <w:tcPr>
            <w:tcW w:type="dxa" w:w="24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6"/>
              </w:rPr>
              <w:t>notification_templates</w:t>
            </w:r>
          </w:p>
        </w:tc>
        <w:tc>
          <w:tcPr>
            <w:tcW w:type="dxa" w:w="34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6"/>
              </w:rPr>
              <w:t>Versioned channel templates</w:t>
            </w:r>
          </w:p>
        </w:tc>
        <w:tc>
          <w:tcPr>
            <w:tcW w:type="dxa" w:w="356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6"/>
              </w:rPr>
              <w:t>tenantId/null + templateKey + locale + version</w:t>
            </w:r>
          </w:p>
        </w:tc>
      </w:tr>
      <w:tr>
        <w:trPr/>
        <w:tc>
          <w:tcPr>
            <w:tcW w:type="dxa" w:w="24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6"/>
              </w:rPr>
              <w:t>notifications</w:t>
            </w:r>
          </w:p>
        </w:tc>
        <w:tc>
          <w:tcPr>
            <w:tcW w:type="dxa" w:w="34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6"/>
              </w:rPr>
              <w:t>In-app user notifications</w:t>
            </w:r>
          </w:p>
        </w:tc>
        <w:tc>
          <w:tcPr>
            <w:tcW w:type="dxa" w:w="356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6"/>
              </w:rPr>
              <w:t>tenantId + recipientUserId + createdAt</w:t>
            </w:r>
          </w:p>
        </w:tc>
      </w:tr>
      <w:tr>
        <w:trPr/>
        <w:tc>
          <w:tcPr>
            <w:tcW w:type="dxa" w:w="24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6"/>
              </w:rPr>
              <w:t>communication_deliveries</w:t>
            </w:r>
          </w:p>
        </w:tc>
        <w:tc>
          <w:tcPr>
            <w:tcW w:type="dxa" w:w="34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6"/>
              </w:rPr>
              <w:t>Email/SMS/push attempts</w:t>
            </w:r>
          </w:p>
        </w:tc>
        <w:tc>
          <w:tcPr>
            <w:tcW w:type="dxa" w:w="356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6"/>
              </w:rPr>
              <w:t>tenantId + messageId + channel</w:t>
            </w:r>
          </w:p>
        </w:tc>
      </w:tr>
      <w:tr>
        <w:trPr/>
        <w:tc>
          <w:tcPr>
            <w:tcW w:type="dxa" w:w="24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6"/>
              </w:rPr>
              <w:t>device_tokens</w:t>
            </w:r>
          </w:p>
        </w:tc>
        <w:tc>
          <w:tcPr>
            <w:tcW w:type="dxa" w:w="34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6"/>
              </w:rPr>
              <w:t>Push-device registrations</w:t>
            </w:r>
          </w:p>
        </w:tc>
        <w:tc>
          <w:tcPr>
            <w:tcW w:type="dxa" w:w="356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6"/>
              </w:rPr>
              <w:t>tenantId + userId + tokenHash</w:t>
            </w:r>
          </w:p>
        </w:tc>
      </w:tr>
      <w:tr>
        <w:trPr/>
        <w:tc>
          <w:tcPr>
            <w:tcW w:type="dxa" w:w="24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6"/>
              </w:rPr>
              <w:t>notification_preferences</w:t>
            </w:r>
          </w:p>
        </w:tc>
        <w:tc>
          <w:tcPr>
            <w:tcW w:type="dxa" w:w="34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6"/>
              </w:rPr>
              <w:t>User/channel preferences</w:t>
            </w:r>
          </w:p>
        </w:tc>
        <w:tc>
          <w:tcPr>
            <w:tcW w:type="dxa" w:w="356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6"/>
              </w:rPr>
              <w:t>tenantId + userId + category</w:t>
            </w:r>
          </w:p>
        </w:tc>
      </w:tr>
      <w:tr>
        <w:trPr/>
        <w:tc>
          <w:tcPr>
            <w:tcW w:type="dxa" w:w="24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6"/>
              </w:rPr>
              <w:t>report_definitions</w:t>
            </w:r>
          </w:p>
        </w:tc>
        <w:tc>
          <w:tcPr>
            <w:tcW w:type="dxa" w:w="34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6"/>
              </w:rPr>
              <w:t>Allowed report registry metadata</w:t>
            </w:r>
          </w:p>
        </w:tc>
        <w:tc>
          <w:tcPr>
            <w:tcW w:type="dxa" w:w="356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6"/>
              </w:rPr>
              <w:t>reportKey + version</w:t>
            </w:r>
          </w:p>
        </w:tc>
      </w:tr>
      <w:tr>
        <w:trPr/>
        <w:tc>
          <w:tcPr>
            <w:tcW w:type="dxa" w:w="24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6"/>
              </w:rPr>
              <w:t>saved_reports</w:t>
            </w:r>
          </w:p>
        </w:tc>
        <w:tc>
          <w:tcPr>
            <w:tcW w:type="dxa" w:w="34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6"/>
              </w:rPr>
              <w:t>Saved filters/columns</w:t>
            </w:r>
          </w:p>
        </w:tc>
        <w:tc>
          <w:tcPr>
            <w:tcW w:type="dxa" w:w="356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6"/>
              </w:rPr>
              <w:t>tenantId + ownerId + reportKey</w:t>
            </w:r>
          </w:p>
        </w:tc>
      </w:tr>
      <w:tr>
        <w:trPr/>
        <w:tc>
          <w:tcPr>
            <w:tcW w:type="dxa" w:w="24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6"/>
              </w:rPr>
              <w:t>report_runs</w:t>
            </w:r>
          </w:p>
        </w:tc>
        <w:tc>
          <w:tcPr>
            <w:tcW w:type="dxa" w:w="34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6"/>
              </w:rPr>
              <w:t>Execution and export status</w:t>
            </w:r>
          </w:p>
        </w:tc>
        <w:tc>
          <w:tcPr>
            <w:tcW w:type="dxa" w:w="356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6"/>
              </w:rPr>
              <w:t>tenantId + reportKey + createdAt</w:t>
            </w:r>
          </w:p>
        </w:tc>
      </w:tr>
      <w:tr>
        <w:trPr/>
        <w:tc>
          <w:tcPr>
            <w:tcW w:type="dxa" w:w="24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6"/>
              </w:rPr>
              <w:t>report_schedules</w:t>
            </w:r>
          </w:p>
        </w:tc>
        <w:tc>
          <w:tcPr>
            <w:tcW w:type="dxa" w:w="34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6"/>
              </w:rPr>
              <w:t>Scheduled report delivery</w:t>
            </w:r>
          </w:p>
        </w:tc>
        <w:tc>
          <w:tcPr>
            <w:tcW w:type="dxa" w:w="356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6"/>
              </w:rPr>
              <w:t>tenantId + nextRunAt + status</w:t>
            </w:r>
          </w:p>
        </w:tc>
      </w:tr>
      <w:tr>
        <w:trPr/>
        <w:tc>
          <w:tcPr>
            <w:tcW w:type="dxa" w:w="24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6"/>
              </w:rPr>
              <w:t>audit_events</w:t>
            </w:r>
          </w:p>
        </w:tc>
        <w:tc>
          <w:tcPr>
            <w:tcW w:type="dxa" w:w="34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6"/>
              </w:rPr>
              <w:t>Append-only audit history</w:t>
            </w:r>
          </w:p>
        </w:tc>
        <w:tc>
          <w:tcPr>
            <w:tcW w:type="dxa" w:w="356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6"/>
              </w:rPr>
              <w:t>tenantId + createdAt; entityType + entityId</w:t>
            </w:r>
          </w:p>
        </w:tc>
      </w:tr>
      <w:tr>
        <w:trPr/>
        <w:tc>
          <w:tcPr>
            <w:tcW w:type="dxa" w:w="24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6"/>
              </w:rPr>
              <w:t>settings</w:t>
            </w:r>
          </w:p>
        </w:tc>
        <w:tc>
          <w:tcPr>
            <w:tcW w:type="dxa" w:w="34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6"/>
              </w:rPr>
              <w:t>Typed scoped configuration</w:t>
            </w:r>
          </w:p>
        </w:tc>
        <w:tc>
          <w:tcPr>
            <w:tcW w:type="dxa" w:w="356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6"/>
              </w:rPr>
              <w:t>scopeType + scopeId + key (unique)</w:t>
            </w:r>
          </w:p>
        </w:tc>
      </w:tr>
      <w:tr>
        <w:trPr/>
        <w:tc>
          <w:tcPr>
            <w:tcW w:type="dxa" w:w="24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6"/>
              </w:rPr>
              <w:t>feature_flags</w:t>
            </w:r>
          </w:p>
        </w:tc>
        <w:tc>
          <w:tcPr>
            <w:tcW w:type="dxa" w:w="34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6"/>
              </w:rPr>
              <w:t>Flag definitions and overrides</w:t>
            </w:r>
          </w:p>
        </w:tc>
        <w:tc>
          <w:tcPr>
            <w:tcW w:type="dxa" w:w="356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6"/>
              </w:rPr>
              <w:t>flagKey + tenantId/null</w:t>
            </w:r>
          </w:p>
        </w:tc>
      </w:tr>
      <w:tr>
        <w:trPr/>
        <w:tc>
          <w:tcPr>
            <w:tcW w:type="dxa" w:w="24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6"/>
              </w:rPr>
              <w:t>idempotency_records</w:t>
            </w:r>
          </w:p>
        </w:tc>
        <w:tc>
          <w:tcPr>
            <w:tcW w:type="dxa" w:w="34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6"/>
              </w:rPr>
              <w:t>Request outcome deduplication</w:t>
            </w:r>
          </w:p>
        </w:tc>
        <w:tc>
          <w:tcPr>
            <w:tcW w:type="dxa" w:w="356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6"/>
              </w:rPr>
              <w:t>tenantId + scope + key (unique); expiry TTL</w:t>
            </w:r>
          </w:p>
        </w:tc>
      </w:tr>
      <w:tr>
        <w:trPr/>
        <w:tc>
          <w:tcPr>
            <w:tcW w:type="dxa" w:w="24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6"/>
              </w:rPr>
              <w:t>outbox_events</w:t>
            </w:r>
          </w:p>
        </w:tc>
        <w:tc>
          <w:tcPr>
            <w:tcW w:type="dxa" w:w="34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6"/>
              </w:rPr>
              <w:t>Transactional asynchronous events</w:t>
            </w:r>
          </w:p>
        </w:tc>
        <w:tc>
          <w:tcPr>
            <w:tcW w:type="dxa" w:w="356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6"/>
              </w:rPr>
              <w:t>tenantId + status + availableAt</w:t>
            </w:r>
          </w:p>
        </w:tc>
      </w:tr>
    </w:tbl>
    <w:p>
      <w:pPr>
        <w:keepNext w:val="0"/>
        <w:keepLines w:val="0"/>
        <w:widowControl/>
        <w:spacing w:before="0" w:after="40" w:line="264" w:lineRule="auto"/>
        <w:jc w:val="left"/>
      </w:pPr>
      <w:r>
        <w:rPr>
          <w:rFonts w:ascii="Calibri" w:hAnsi="Calibri" w:eastAsia="Calibri"/>
          <w:b w:val="0"/>
          <w:i w:val="0"/>
          <w:color w:val="172033"/>
          <w:sz w:val="22"/>
        </w:rPr>
      </w:r>
    </w:p>
    <w:p>
      <w:pPr>
        <w:pStyle w:val="Heading2"/>
        <w:keepNext/>
      </w:pPr>
      <w:r>
        <w:t>21.1 Data rules</w:t>
      </w:r>
    </w:p>
    <w:p>
      <w:pPr>
        <w:keepNext w:val="0"/>
        <w:keepLines w:val="0"/>
        <w:widowControl/>
        <w:numPr>
          <w:ilvl w:val="0"/>
          <w:numId w:val="10"/>
        </w:numPr>
        <w:spacing w:before="0" w:after="160" w:line="280" w:lineRule="auto"/>
      </w:pPr>
      <w:r>
        <w:rPr>
          <w:rFonts w:ascii="Calibri" w:hAnsi="Calibri" w:eastAsia="Calibri"/>
        </w:rPr>
        <w:t>MongoDB must run as a replica set in every environment because transactions are required for financial state, idempotency and outbox consistency.</w:t>
      </w:r>
    </w:p>
    <w:p>
      <w:pPr>
        <w:keepNext w:val="0"/>
        <w:keepLines w:val="0"/>
        <w:widowControl/>
        <w:numPr>
          <w:ilvl w:val="0"/>
          <w:numId w:val="10"/>
        </w:numPr>
        <w:spacing w:before="0" w:after="160" w:line="280" w:lineRule="auto"/>
      </w:pPr>
      <w:r>
        <w:rPr>
          <w:rFonts w:ascii="Calibri" w:hAnsi="Calibri" w:eastAsia="Calibri"/>
        </w:rPr>
        <w:t>Every tenant-owned unique constraint must include tenantId unless global uniqueness is intentional and documented.</w:t>
      </w:r>
    </w:p>
    <w:p>
      <w:pPr>
        <w:keepNext w:val="0"/>
        <w:keepLines w:val="0"/>
        <w:widowControl/>
        <w:numPr>
          <w:ilvl w:val="0"/>
          <w:numId w:val="10"/>
        </w:numPr>
        <w:spacing w:before="0" w:after="160" w:line="280" w:lineRule="auto"/>
      </w:pPr>
      <w:r>
        <w:rPr>
          <w:rFonts w:ascii="Calibri" w:hAnsi="Calibri" w:eastAsia="Calibri"/>
        </w:rPr>
        <w:t>All list/filter endpoints must have supporting indexes; unbounded collection scans are prohibited in normal API paths.</w:t>
      </w:r>
    </w:p>
    <w:p>
      <w:pPr>
        <w:keepNext w:val="0"/>
        <w:keepLines w:val="0"/>
        <w:widowControl/>
        <w:numPr>
          <w:ilvl w:val="0"/>
          <w:numId w:val="10"/>
        </w:numPr>
        <w:spacing w:before="0" w:after="160" w:line="280" w:lineRule="auto"/>
      </w:pPr>
      <w:r>
        <w:rPr>
          <w:rFonts w:ascii="Calibri" w:hAnsi="Calibri" w:eastAsia="Calibri"/>
        </w:rPr>
        <w:t>TTL indexes may remove expired sessions, tokens and idempotency records, but must never be applied to financial or audit collections.</w:t>
      </w:r>
    </w:p>
    <w:p>
      <w:pPr>
        <w:keepNext w:val="0"/>
        <w:keepLines w:val="0"/>
        <w:widowControl/>
        <w:numPr>
          <w:ilvl w:val="0"/>
          <w:numId w:val="10"/>
        </w:numPr>
        <w:spacing w:before="0" w:after="160" w:line="280" w:lineRule="auto"/>
      </w:pPr>
      <w:r>
        <w:rPr>
          <w:rFonts w:ascii="Calibri" w:hAnsi="Calibri" w:eastAsia="Calibri"/>
        </w:rPr>
        <w:t>Schema changes and data backfills must be implemented as versioned, idempotent migration scripts with dry-run support.</w:t>
      </w:r>
    </w:p>
    <w:p>
      <w:pPr>
        <w:keepNext w:val="0"/>
        <w:keepLines w:val="0"/>
        <w:widowControl/>
        <w:numPr>
          <w:ilvl w:val="0"/>
          <w:numId w:val="10"/>
        </w:numPr>
        <w:spacing w:before="0" w:after="160" w:line="280" w:lineRule="auto"/>
      </w:pPr>
      <w:r>
        <w:rPr>
          <w:rFonts w:ascii="Calibri" w:hAnsi="Calibri" w:eastAsia="Calibri"/>
        </w:rPr>
        <w:t>Sensitive fields shall be explicitly excluded from default projections and serialization.</w:t>
      </w:r>
    </w:p>
    <w:p>
      <w:pPr>
        <w:pStyle w:val="Heading1"/>
        <w:keepNext/>
      </w:pPr>
      <w:r>
        <w:t>22. API groups</w:t>
      </w:r>
    </w:p>
    <w:tbl>
      <w:tblPr>
        <w:tblStyle w:val="TableGrid"/>
        <w:tblW w:type="dxa" w:w="9360"/>
        <w:jc w:val="left"/>
        <w:tblLayout w:type="fixed"/>
        <w:tblLook w:firstColumn="1" w:firstRow="1" w:lastColumn="0" w:lastRow="0" w:noHBand="0" w:noVBand="1" w:val="04A0"/>
        <w:tblInd w:type="dxa" w:w="120"/>
      </w:tblPr>
      <w:tblGrid>
        <w:gridCol w:w="3000"/>
        <w:gridCol w:w="6360"/>
      </w:tblGrid>
      <w:tr>
        <w:trPr>
          <w:tblHeader w:val="true"/>
        </w:trPr>
        <w:tc>
          <w:tcPr>
            <w:tcW w:type="dxa" w:w="3000"/>
            <w:shd w:fill="0B2545"/>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40" w:lineRule="auto"/>
            </w:pPr>
            <w:r>
              <w:rPr>
                <w:rFonts w:ascii="Calibri" w:hAnsi="Calibri" w:eastAsia="Calibri"/>
                <w:b/>
                <w:color w:val="FFFFFF"/>
                <w:sz w:val="18"/>
              </w:rPr>
              <w:t>Route group</w:t>
            </w:r>
          </w:p>
        </w:tc>
        <w:tc>
          <w:tcPr>
            <w:tcW w:type="dxa" w:w="6360"/>
            <w:shd w:fill="0B2545"/>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40" w:lineRule="auto"/>
            </w:pPr>
            <w:r>
              <w:rPr>
                <w:rFonts w:ascii="Calibri" w:hAnsi="Calibri" w:eastAsia="Calibri"/>
                <w:b/>
                <w:color w:val="FFFFFF"/>
                <w:sz w:val="18"/>
              </w:rPr>
              <w:t>Responsibility</w:t>
            </w:r>
          </w:p>
        </w:tc>
      </w:tr>
      <w:tr>
        <w:trPr/>
        <w:tc>
          <w:tcPr>
            <w:tcW w:type="dxa" w:w="30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8"/>
              </w:rPr>
              <w:t>/auth</w:t>
            </w:r>
          </w:p>
        </w:tc>
        <w:tc>
          <w:tcPr>
            <w:tcW w:type="dxa" w:w="636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8"/>
              </w:rPr>
              <w:t>Register/invite acceptance, login, MFA, refresh, logout, recovery and sessions</w:t>
            </w:r>
          </w:p>
        </w:tc>
      </w:tr>
      <w:tr>
        <w:trPr/>
        <w:tc>
          <w:tcPr>
            <w:tcW w:type="dxa" w:w="30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8"/>
              </w:rPr>
              <w:t>/me</w:t>
            </w:r>
          </w:p>
        </w:tc>
        <w:tc>
          <w:tcPr>
            <w:tcW w:type="dxa" w:w="636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8"/>
              </w:rPr>
              <w:t>Profile, preferences, memberships, effective permissions and devices</w:t>
            </w:r>
          </w:p>
        </w:tc>
      </w:tr>
      <w:tr>
        <w:trPr/>
        <w:tc>
          <w:tcPr>
            <w:tcW w:type="dxa" w:w="30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8"/>
              </w:rPr>
              <w:t>/platform/tenants</w:t>
            </w:r>
          </w:p>
        </w:tc>
        <w:tc>
          <w:tcPr>
            <w:tcW w:type="dxa" w:w="636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8"/>
              </w:rPr>
              <w:t>Platform tenant lifecycle, plan and controlled support access</w:t>
            </w:r>
          </w:p>
        </w:tc>
      </w:tr>
      <w:tr>
        <w:trPr/>
        <w:tc>
          <w:tcPr>
            <w:tcW w:type="dxa" w:w="30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8"/>
              </w:rPr>
              <w:t>/tenants/:tenantId</w:t>
            </w:r>
          </w:p>
        </w:tc>
        <w:tc>
          <w:tcPr>
            <w:tcW w:type="dxa" w:w="636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8"/>
              </w:rPr>
              <w:t>Tenant profile, organization units, settings and usage summary</w:t>
            </w:r>
          </w:p>
        </w:tc>
      </w:tr>
      <w:tr>
        <w:trPr/>
        <w:tc>
          <w:tcPr>
            <w:tcW w:type="dxa" w:w="30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8"/>
              </w:rPr>
              <w:t>/users, /memberships, /teams</w:t>
            </w:r>
          </w:p>
        </w:tc>
        <w:tc>
          <w:tcPr>
            <w:tcW w:type="dxa" w:w="636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8"/>
              </w:rPr>
              <w:t>Tenant user/team lifecycle and assignments</w:t>
            </w:r>
          </w:p>
        </w:tc>
      </w:tr>
      <w:tr>
        <w:trPr/>
        <w:tc>
          <w:tcPr>
            <w:tcW w:type="dxa" w:w="30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8"/>
              </w:rPr>
              <w:t>/roles, /permissions</w:t>
            </w:r>
          </w:p>
        </w:tc>
        <w:tc>
          <w:tcPr>
            <w:tcW w:type="dxa" w:w="636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8"/>
              </w:rPr>
              <w:t>Role definitions, assignments and effective access</w:t>
            </w:r>
          </w:p>
        </w:tc>
      </w:tr>
      <w:tr>
        <w:trPr/>
        <w:tc>
          <w:tcPr>
            <w:tcW w:type="dxa" w:w="30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8"/>
              </w:rPr>
              <w:t>/files</w:t>
            </w:r>
          </w:p>
        </w:tc>
        <w:tc>
          <w:tcPr>
            <w:tcW w:type="dxa" w:w="636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8"/>
              </w:rPr>
              <w:t>Upload completion, metadata, links, preview/download and retention actions</w:t>
            </w:r>
          </w:p>
        </w:tc>
      </w:tr>
      <w:tr>
        <w:trPr/>
        <w:tc>
          <w:tcPr>
            <w:tcW w:type="dxa" w:w="30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8"/>
              </w:rPr>
              <w:t>/billing</w:t>
            </w:r>
          </w:p>
        </w:tc>
        <w:tc>
          <w:tcPr>
            <w:tcW w:type="dxa" w:w="636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8"/>
              </w:rPr>
              <w:t>Plans, subscription, entitlement, usage, credits and invoices</w:t>
            </w:r>
          </w:p>
        </w:tc>
      </w:tr>
      <w:tr>
        <w:trPr/>
        <w:tc>
          <w:tcPr>
            <w:tcW w:type="dxa" w:w="30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8"/>
              </w:rPr>
              <w:t>/payments</w:t>
            </w:r>
          </w:p>
        </w:tc>
        <w:tc>
          <w:tcPr>
            <w:tcW w:type="dxa" w:w="636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8"/>
              </w:rPr>
              <w:t>Razorpay order, verification, payment history and refunds</w:t>
            </w:r>
          </w:p>
        </w:tc>
      </w:tr>
      <w:tr>
        <w:trPr/>
        <w:tc>
          <w:tcPr>
            <w:tcW w:type="dxa" w:w="30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8"/>
              </w:rPr>
              <w:t>/webhooks/razorpay</w:t>
            </w:r>
          </w:p>
        </w:tc>
        <w:tc>
          <w:tcPr>
            <w:tcW w:type="dxa" w:w="636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8"/>
              </w:rPr>
              <w:t>Signature-verified inbound Razorpay events</w:t>
            </w:r>
          </w:p>
        </w:tc>
      </w:tr>
      <w:tr>
        <w:trPr/>
        <w:tc>
          <w:tcPr>
            <w:tcW w:type="dxa" w:w="30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8"/>
              </w:rPr>
              <w:t>/reports</w:t>
            </w:r>
          </w:p>
        </w:tc>
        <w:tc>
          <w:tcPr>
            <w:tcW w:type="dxa" w:w="636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8"/>
              </w:rPr>
              <w:t>Definitions, dashboard data, saved views, runs, exports and schedules</w:t>
            </w:r>
          </w:p>
        </w:tc>
      </w:tr>
      <w:tr>
        <w:trPr/>
        <w:tc>
          <w:tcPr>
            <w:tcW w:type="dxa" w:w="30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8"/>
              </w:rPr>
              <w:t>/notifications</w:t>
            </w:r>
          </w:p>
        </w:tc>
        <w:tc>
          <w:tcPr>
            <w:tcW w:type="dxa" w:w="636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8"/>
              </w:rPr>
              <w:t>In-app inbox, preferences and delivery status</w:t>
            </w:r>
          </w:p>
        </w:tc>
      </w:tr>
      <w:tr>
        <w:trPr/>
        <w:tc>
          <w:tcPr>
            <w:tcW w:type="dxa" w:w="30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8"/>
              </w:rPr>
              <w:t>/communication/templates</w:t>
            </w:r>
          </w:p>
        </w:tc>
        <w:tc>
          <w:tcPr>
            <w:tcW w:type="dxa" w:w="636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8"/>
              </w:rPr>
              <w:t>Template administration, preview and test send</w:t>
            </w:r>
          </w:p>
        </w:tc>
      </w:tr>
      <w:tr>
        <w:trPr/>
        <w:tc>
          <w:tcPr>
            <w:tcW w:type="dxa" w:w="30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8"/>
              </w:rPr>
              <w:t>/audit</w:t>
            </w:r>
          </w:p>
        </w:tc>
        <w:tc>
          <w:tcPr>
            <w:tcW w:type="dxa" w:w="636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8"/>
              </w:rPr>
              <w:t>Permissioned audit search, entity activity and export</w:t>
            </w:r>
          </w:p>
        </w:tc>
      </w:tr>
      <w:tr>
        <w:trPr/>
        <w:tc>
          <w:tcPr>
            <w:tcW w:type="dxa" w:w="30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8"/>
              </w:rPr>
              <w:t>/settings, /feature-flags</w:t>
            </w:r>
          </w:p>
        </w:tc>
        <w:tc>
          <w:tcPr>
            <w:tcW w:type="dxa" w:w="636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8"/>
              </w:rPr>
              <w:t>Typed configuration and feature evaluation/admin</w:t>
            </w:r>
          </w:p>
        </w:tc>
      </w:tr>
      <w:tr>
        <w:trPr/>
        <w:tc>
          <w:tcPr>
            <w:tcW w:type="dxa" w:w="30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8"/>
              </w:rPr>
              <w:t>/api-keys, /webhook-subscriptions</w:t>
            </w:r>
          </w:p>
        </w:tc>
        <w:tc>
          <w:tcPr>
            <w:tcW w:type="dxa" w:w="636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8"/>
              </w:rPr>
              <w:t>Machine access and outbound event delivery</w:t>
            </w:r>
          </w:p>
        </w:tc>
      </w:tr>
      <w:tr>
        <w:trPr/>
        <w:tc>
          <w:tcPr>
            <w:tcW w:type="dxa" w:w="30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8"/>
              </w:rPr>
              <w:t>/health</w:t>
            </w:r>
          </w:p>
        </w:tc>
        <w:tc>
          <w:tcPr>
            <w:tcW w:type="dxa" w:w="636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8"/>
              </w:rPr>
              <w:t>Liveness, readiness and sanitized dependency health</w:t>
            </w:r>
          </w:p>
        </w:tc>
      </w:tr>
    </w:tbl>
    <w:p>
      <w:pPr>
        <w:keepNext w:val="0"/>
        <w:keepLines w:val="0"/>
        <w:widowControl/>
        <w:spacing w:before="0" w:after="40" w:line="264" w:lineRule="auto"/>
        <w:jc w:val="left"/>
      </w:pPr>
      <w:r>
        <w:rPr>
          <w:rFonts w:ascii="Calibri" w:hAnsi="Calibri" w:eastAsia="Calibri"/>
          <w:b w:val="0"/>
          <w:i w:val="0"/>
          <w:color w:val="172033"/>
          <w:sz w:val="22"/>
        </w:rPr>
      </w:r>
    </w:p>
    <w:tbl>
      <w:tblPr>
        <w:tblW w:type="dxa" w:w="9360"/>
        <w:jc w:val="left"/>
        <w:tblLayout w:type="fixed"/>
        <w:tblLook w:firstColumn="1" w:firstRow="1" w:lastColumn="0" w:lastRow="0" w:noHBand="0" w:noVBand="1" w:val="04A0"/>
        <w:tblInd w:type="dxa" w:w="120"/>
      </w:tblPr>
      <w:tblGrid>
        <w:gridCol w:w="9360"/>
      </w:tblGrid>
      <w:tr>
        <w:trPr/>
        <w:tc>
          <w:tcPr>
            <w:tcW w:type="dxa" w:w="9360"/>
            <w:shd w:fill="EAF4F8"/>
            <w:tcBorders>
              <w:top w:val="single" w:sz="8" w:color="00A6C8"/>
              <w:left w:val="single" w:sz="8" w:color="00A6C8"/>
              <w:bottom w:val="single" w:sz="8" w:color="00A6C8"/>
              <w:right w:val="single" w:sz="8" w:color="00A6C8"/>
              <w:insideH w:val="single" w:sz="8" w:color="00A6C8"/>
              <w:insideV w:val="single" w:sz="8" w:color="00A6C8"/>
            </w:tcBorders>
            <w:tcMar>
              <w:top w:w="100" w:type="dxa"/>
              <w:bottom w:w="100" w:type="dxa"/>
              <w:start w:w="120" w:type="dxa"/>
              <w:end w:w="120" w:type="dxa"/>
            </w:tcMar>
          </w:tcPr>
          <w:p>
            <w:pPr>
              <w:keepNext w:val="0"/>
              <w:keepLines w:val="0"/>
              <w:widowControl/>
              <w:spacing w:before="40" w:after="40" w:line="264" w:lineRule="auto"/>
            </w:pPr>
            <w:r>
              <w:rPr>
                <w:rFonts w:ascii="Calibri" w:hAnsi="Calibri" w:eastAsia="Calibri"/>
                <w:b/>
                <w:color w:val="0B2545"/>
              </w:rPr>
              <w:t xml:space="preserve">API design requirement: </w:t>
            </w:r>
            <w:r>
              <w:rPr>
                <w:rFonts w:ascii="Calibri" w:hAnsi="Calibri" w:eastAsia="Calibri"/>
                <w:color w:val="172033"/>
              </w:rPr>
              <w:t>The route list is a responsibility map, not a license to expose all operations to every user. Every route requires explicit authentication mode, tenant context, permission, rate-limit and audit classification.</w:t>
            </w:r>
          </w:p>
        </w:tc>
      </w:tr>
    </w:tbl>
    <w:p>
      <w:pPr>
        <w:keepNext w:val="0"/>
        <w:keepLines w:val="0"/>
        <w:widowControl/>
        <w:spacing w:before="0" w:after="40" w:line="264" w:lineRule="auto"/>
        <w:jc w:val="left"/>
      </w:pPr>
      <w:r>
        <w:rPr>
          <w:rFonts w:ascii="Calibri" w:hAnsi="Calibri" w:eastAsia="Calibri"/>
          <w:b w:val="0"/>
          <w:i w:val="0"/>
          <w:color w:val="172033"/>
          <w:sz w:val="22"/>
        </w:rPr>
      </w:r>
    </w:p>
    <w:p>
      <w:pPr>
        <w:pStyle w:val="Heading1"/>
        <w:keepNext/>
      </w:pPr>
      <w:r>
        <w:t>23. Non-functional requirements</w:t>
      </w:r>
    </w:p>
    <w:tbl>
      <w:tblPr>
        <w:tblStyle w:val="TableGrid"/>
        <w:tblW w:type="dxa" w:w="9360"/>
        <w:jc w:val="left"/>
        <w:tblLayout w:type="fixed"/>
        <w:tblLook w:firstColumn="1" w:firstRow="1" w:lastColumn="0" w:lastRow="0" w:noHBand="0" w:noVBand="1" w:val="04A0"/>
        <w:tblInd w:type="dxa" w:w="120"/>
      </w:tblPr>
      <w:tblGrid>
        <w:gridCol w:w="1800"/>
        <w:gridCol w:w="5100"/>
        <w:gridCol w:w="2460"/>
      </w:tblGrid>
      <w:tr>
        <w:trPr>
          <w:tblHeader w:val="true"/>
        </w:trPr>
        <w:tc>
          <w:tcPr>
            <w:tcW w:type="dxa" w:w="1800"/>
            <w:shd w:fill="0B2545"/>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40" w:lineRule="auto"/>
            </w:pPr>
            <w:r>
              <w:rPr>
                <w:rFonts w:ascii="Calibri" w:hAnsi="Calibri" w:eastAsia="Calibri"/>
                <w:b/>
                <w:color w:val="FFFFFF"/>
                <w:sz w:val="18"/>
              </w:rPr>
              <w:t>Quality attribute</w:t>
            </w:r>
          </w:p>
        </w:tc>
        <w:tc>
          <w:tcPr>
            <w:tcW w:type="dxa" w:w="5100"/>
            <w:shd w:fill="0B2545"/>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40" w:lineRule="auto"/>
            </w:pPr>
            <w:r>
              <w:rPr>
                <w:rFonts w:ascii="Calibri" w:hAnsi="Calibri" w:eastAsia="Calibri"/>
                <w:b/>
                <w:color w:val="FFFFFF"/>
                <w:sz w:val="18"/>
              </w:rPr>
              <w:t>Requirement</w:t>
            </w:r>
          </w:p>
        </w:tc>
        <w:tc>
          <w:tcPr>
            <w:tcW w:type="dxa" w:w="2460"/>
            <w:shd w:fill="0B2545"/>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40" w:lineRule="auto"/>
            </w:pPr>
            <w:r>
              <w:rPr>
                <w:rFonts w:ascii="Calibri" w:hAnsi="Calibri" w:eastAsia="Calibri"/>
                <w:b/>
                <w:color w:val="FFFFFF"/>
                <w:sz w:val="18"/>
              </w:rPr>
              <w:t>Evidence</w:t>
            </w:r>
          </w:p>
        </w:tc>
      </w:tr>
      <w:tr>
        <w:trPr/>
        <w:tc>
          <w:tcPr>
            <w:tcW w:type="dxa" w:w="18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7"/>
              </w:rPr>
              <w:t>Availability</w:t>
            </w:r>
          </w:p>
        </w:tc>
        <w:tc>
          <w:tcPr>
            <w:tcW w:type="dxa" w:w="51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7"/>
              </w:rPr>
              <w:t>No single worker failure shall corrupt data; API and worker can restart independently.</w:t>
            </w:r>
          </w:p>
        </w:tc>
        <w:tc>
          <w:tcPr>
            <w:tcW w:type="dxa" w:w="246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7"/>
              </w:rPr>
              <w:t>Health checks and recovery tests</w:t>
            </w:r>
          </w:p>
        </w:tc>
      </w:tr>
      <w:tr>
        <w:trPr/>
        <w:tc>
          <w:tcPr>
            <w:tcW w:type="dxa" w:w="18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7"/>
              </w:rPr>
              <w:t>Performance</w:t>
            </w:r>
          </w:p>
        </w:tc>
        <w:tc>
          <w:tcPr>
            <w:tcW w:type="dxa" w:w="51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7"/>
              </w:rPr>
              <w:t>Normal CRUD reads/writes should meet agreed SLOs under reference load; p95 targets are configurable per deployment.</w:t>
            </w:r>
          </w:p>
        </w:tc>
        <w:tc>
          <w:tcPr>
            <w:tcW w:type="dxa" w:w="246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7"/>
              </w:rPr>
              <w:t>Load-test baseline and indexed-query review</w:t>
            </w:r>
          </w:p>
        </w:tc>
      </w:tr>
      <w:tr>
        <w:trPr/>
        <w:tc>
          <w:tcPr>
            <w:tcW w:type="dxa" w:w="18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7"/>
              </w:rPr>
              <w:t>Scalability</w:t>
            </w:r>
          </w:p>
        </w:tc>
        <w:tc>
          <w:tcPr>
            <w:tcW w:type="dxa" w:w="51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7"/>
              </w:rPr>
              <w:t>API and worker shall scale horizontally; no in-memory session, lock or job state.</w:t>
            </w:r>
          </w:p>
        </w:tc>
        <w:tc>
          <w:tcPr>
            <w:tcW w:type="dxa" w:w="246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7"/>
              </w:rPr>
              <w:t>Two-instance integration test</w:t>
            </w:r>
          </w:p>
        </w:tc>
      </w:tr>
      <w:tr>
        <w:trPr/>
        <w:tc>
          <w:tcPr>
            <w:tcW w:type="dxa" w:w="18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7"/>
              </w:rPr>
              <w:t>Consistency</w:t>
            </w:r>
          </w:p>
        </w:tc>
        <w:tc>
          <w:tcPr>
            <w:tcW w:type="dxa" w:w="51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7"/>
              </w:rPr>
              <w:t>Financial, entitlement, payment and outbox transitions use MongoDB transactions and idempotency.</w:t>
            </w:r>
          </w:p>
        </w:tc>
        <w:tc>
          <w:tcPr>
            <w:tcW w:type="dxa" w:w="246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7"/>
              </w:rPr>
              <w:t>Failure-injection tests</w:t>
            </w:r>
          </w:p>
        </w:tc>
      </w:tr>
      <w:tr>
        <w:trPr/>
        <w:tc>
          <w:tcPr>
            <w:tcW w:type="dxa" w:w="18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7"/>
              </w:rPr>
              <w:t>Isolation</w:t>
            </w:r>
          </w:p>
        </w:tc>
        <w:tc>
          <w:tcPr>
            <w:tcW w:type="dxa" w:w="51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7"/>
              </w:rPr>
              <w:t>No tenant data leakage through API, jobs, reports, files, cache keys, logs or provider calls.</w:t>
            </w:r>
          </w:p>
        </w:tc>
        <w:tc>
          <w:tcPr>
            <w:tcW w:type="dxa" w:w="246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7"/>
              </w:rPr>
              <w:t>Automated cross-tenant suite</w:t>
            </w:r>
          </w:p>
        </w:tc>
      </w:tr>
      <w:tr>
        <w:trPr/>
        <w:tc>
          <w:tcPr>
            <w:tcW w:type="dxa" w:w="18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7"/>
              </w:rPr>
              <w:t>Security</w:t>
            </w:r>
          </w:p>
        </w:tc>
        <w:tc>
          <w:tcPr>
            <w:tcW w:type="dxa" w:w="51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7"/>
              </w:rPr>
              <w:t>Least privilege, secure defaults, secret redaction, dependency scanning and auditable privileged access.</w:t>
            </w:r>
          </w:p>
        </w:tc>
        <w:tc>
          <w:tcPr>
            <w:tcW w:type="dxa" w:w="246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7"/>
              </w:rPr>
              <w:t>Security test and CI gate</w:t>
            </w:r>
          </w:p>
        </w:tc>
      </w:tr>
      <w:tr>
        <w:trPr/>
        <w:tc>
          <w:tcPr>
            <w:tcW w:type="dxa" w:w="18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7"/>
              </w:rPr>
              <w:t>Maintainability</w:t>
            </w:r>
          </w:p>
        </w:tc>
        <w:tc>
          <w:tcPr>
            <w:tcW w:type="dxa" w:w="51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7"/>
              </w:rPr>
              <w:t>Modules expose public interfaces and do not import another module’s persistence model directly.</w:t>
            </w:r>
          </w:p>
        </w:tc>
        <w:tc>
          <w:tcPr>
            <w:tcW w:type="dxa" w:w="246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7"/>
              </w:rPr>
              <w:t>Architecture dependency rules</w:t>
            </w:r>
          </w:p>
        </w:tc>
      </w:tr>
      <w:tr>
        <w:trPr/>
        <w:tc>
          <w:tcPr>
            <w:tcW w:type="dxa" w:w="18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7"/>
              </w:rPr>
              <w:t>Portability</w:t>
            </w:r>
          </w:p>
        </w:tc>
        <w:tc>
          <w:tcPr>
            <w:tcW w:type="dxa" w:w="51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7"/>
              </w:rPr>
              <w:t>Local and target environments use containers and environment-specific configuration.</w:t>
            </w:r>
          </w:p>
        </w:tc>
        <w:tc>
          <w:tcPr>
            <w:tcW w:type="dxa" w:w="246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7"/>
              </w:rPr>
              <w:t>Fresh-start Docker test</w:t>
            </w:r>
          </w:p>
        </w:tc>
      </w:tr>
      <w:tr>
        <w:trPr/>
        <w:tc>
          <w:tcPr>
            <w:tcW w:type="dxa" w:w="18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7"/>
              </w:rPr>
              <w:t>Recoverability</w:t>
            </w:r>
          </w:p>
        </w:tc>
        <w:tc>
          <w:tcPr>
            <w:tcW w:type="dxa" w:w="51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7"/>
              </w:rPr>
              <w:t>Backup, restore and replay procedures cover MongoDB, object metadata and critical queues/events.</w:t>
            </w:r>
          </w:p>
        </w:tc>
        <w:tc>
          <w:tcPr>
            <w:tcW w:type="dxa" w:w="246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7"/>
              </w:rPr>
              <w:t>Documented restore test</w:t>
            </w:r>
          </w:p>
        </w:tc>
      </w:tr>
      <w:tr>
        <w:trPr/>
        <w:tc>
          <w:tcPr>
            <w:tcW w:type="dxa" w:w="18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7"/>
              </w:rPr>
              <w:t>Accessibility support</w:t>
            </w:r>
          </w:p>
        </w:tc>
        <w:tc>
          <w:tcPr>
            <w:tcW w:type="dxa" w:w="51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7"/>
              </w:rPr>
              <w:t>APIs expose clear validation errors, locale/time-zone data and stable semantics required by accessible clients.</w:t>
            </w:r>
          </w:p>
        </w:tc>
        <w:tc>
          <w:tcPr>
            <w:tcW w:type="dxa" w:w="246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7"/>
              </w:rPr>
              <w:t>Contract review</w:t>
            </w:r>
          </w:p>
        </w:tc>
      </w:tr>
    </w:tbl>
    <w:p>
      <w:pPr>
        <w:keepNext w:val="0"/>
        <w:keepLines w:val="0"/>
        <w:widowControl/>
        <w:spacing w:before="0" w:after="40" w:line="264" w:lineRule="auto"/>
        <w:jc w:val="left"/>
      </w:pPr>
      <w:r>
        <w:rPr>
          <w:rFonts w:ascii="Calibri" w:hAnsi="Calibri" w:eastAsia="Calibri"/>
          <w:b w:val="0"/>
          <w:i w:val="0"/>
          <w:color w:val="172033"/>
          <w:sz w:val="22"/>
        </w:rPr>
      </w:r>
    </w:p>
    <w:p>
      <w:pPr>
        <w:pStyle w:val="Heading1"/>
        <w:keepNext/>
      </w:pPr>
      <w:r>
        <w:t>24. Testing and acceptance</w:t>
      </w:r>
    </w:p>
    <w:p>
      <w:pPr>
        <w:pStyle w:val="Heading2"/>
        <w:keepNext/>
      </w:pPr>
      <w:r>
        <w:t>24.1 Mandatory automated suites</w:t>
      </w:r>
    </w:p>
    <w:p>
      <w:pPr>
        <w:keepNext w:val="0"/>
        <w:keepLines w:val="0"/>
        <w:widowControl/>
        <w:numPr>
          <w:ilvl w:val="0"/>
          <w:numId w:val="10"/>
        </w:numPr>
        <w:spacing w:before="0" w:after="160" w:line="280" w:lineRule="auto"/>
      </w:pPr>
      <w:r>
        <w:rPr>
          <w:rFonts w:ascii="Calibri" w:hAnsi="Calibri" w:eastAsia="Calibri"/>
        </w:rPr>
        <w:t>Unit tests for policies, state transitions, amount calculations, permission evaluation and adapter behaviour.</w:t>
      </w:r>
    </w:p>
    <w:p>
      <w:pPr>
        <w:keepNext w:val="0"/>
        <w:keepLines w:val="0"/>
        <w:widowControl/>
        <w:numPr>
          <w:ilvl w:val="0"/>
          <w:numId w:val="10"/>
        </w:numPr>
        <w:spacing w:before="0" w:after="160" w:line="280" w:lineRule="auto"/>
      </w:pPr>
      <w:r>
        <w:rPr>
          <w:rFonts w:ascii="Calibri" w:hAnsi="Calibri" w:eastAsia="Calibri"/>
        </w:rPr>
        <w:t>MongoDB/Redis integration tests using real containerized dependencies, including replica-set transactions.</w:t>
      </w:r>
    </w:p>
    <w:p>
      <w:pPr>
        <w:keepNext w:val="0"/>
        <w:keepLines w:val="0"/>
        <w:widowControl/>
        <w:numPr>
          <w:ilvl w:val="0"/>
          <w:numId w:val="10"/>
        </w:numPr>
        <w:spacing w:before="0" w:after="160" w:line="280" w:lineRule="auto"/>
      </w:pPr>
      <w:r>
        <w:rPr>
          <w:rFonts w:ascii="Calibri" w:hAnsi="Calibri" w:eastAsia="Calibri"/>
        </w:rPr>
        <w:t>API tests for validation, authentication, permissions, errors, pagination and OpenAPI conformance.</w:t>
      </w:r>
    </w:p>
    <w:p>
      <w:pPr>
        <w:keepNext w:val="0"/>
        <w:keepLines w:val="0"/>
        <w:widowControl/>
        <w:numPr>
          <w:ilvl w:val="0"/>
          <w:numId w:val="10"/>
        </w:numPr>
        <w:spacing w:before="0" w:after="160" w:line="280" w:lineRule="auto"/>
      </w:pPr>
      <w:r>
        <w:rPr>
          <w:rFonts w:ascii="Calibri" w:hAnsi="Calibri" w:eastAsia="Calibri"/>
        </w:rPr>
        <w:t>Tenant-isolation tests covering APIs, repositories, cache keys, jobs, reports, files and exports.</w:t>
      </w:r>
    </w:p>
    <w:p>
      <w:pPr>
        <w:keepNext w:val="0"/>
        <w:keepLines w:val="0"/>
        <w:widowControl/>
        <w:numPr>
          <w:ilvl w:val="0"/>
          <w:numId w:val="10"/>
        </w:numPr>
        <w:spacing w:before="0" w:after="160" w:line="280" w:lineRule="auto"/>
      </w:pPr>
      <w:r>
        <w:rPr>
          <w:rFonts w:ascii="Calibri" w:hAnsi="Calibri" w:eastAsia="Calibri"/>
        </w:rPr>
        <w:t>Razorpay signature, webhook deduplication, payment state and refund idempotency tests.</w:t>
      </w:r>
    </w:p>
    <w:p>
      <w:pPr>
        <w:keepNext w:val="0"/>
        <w:keepLines w:val="0"/>
        <w:widowControl/>
        <w:numPr>
          <w:ilvl w:val="0"/>
          <w:numId w:val="10"/>
        </w:numPr>
        <w:spacing w:before="0" w:after="160" w:line="280" w:lineRule="auto"/>
      </w:pPr>
      <w:r>
        <w:rPr>
          <w:rFonts w:ascii="Calibri" w:hAnsi="Calibri" w:eastAsia="Calibri"/>
        </w:rPr>
        <w:t>Billing tests for subscription transitions, usage deduplication, quota checks, credits and invoice calculations.</w:t>
      </w:r>
    </w:p>
    <w:p>
      <w:pPr>
        <w:keepNext w:val="0"/>
        <w:keepLines w:val="0"/>
        <w:widowControl/>
        <w:numPr>
          <w:ilvl w:val="0"/>
          <w:numId w:val="10"/>
        </w:numPr>
        <w:spacing w:before="0" w:after="160" w:line="280" w:lineRule="auto"/>
      </w:pPr>
      <w:r>
        <w:rPr>
          <w:rFonts w:ascii="Calibri" w:hAnsi="Calibri" w:eastAsia="Calibri"/>
        </w:rPr>
        <w:t>Communication contract tests for mock plus configured email, SMS and push adapters.</w:t>
      </w:r>
    </w:p>
    <w:p>
      <w:pPr>
        <w:keepNext w:val="0"/>
        <w:keepLines w:val="0"/>
        <w:widowControl/>
        <w:numPr>
          <w:ilvl w:val="0"/>
          <w:numId w:val="10"/>
        </w:numPr>
        <w:spacing w:before="0" w:after="160" w:line="280" w:lineRule="auto"/>
      </w:pPr>
      <w:r>
        <w:rPr>
          <w:rFonts w:ascii="Calibri" w:hAnsi="Calibri" w:eastAsia="Calibri"/>
        </w:rPr>
        <w:t>BullMQ retry, dead-letter, replay and partial-failure tests.</w:t>
      </w:r>
    </w:p>
    <w:p>
      <w:pPr>
        <w:keepNext w:val="0"/>
        <w:keepLines w:val="0"/>
        <w:widowControl/>
        <w:numPr>
          <w:ilvl w:val="0"/>
          <w:numId w:val="10"/>
        </w:numPr>
        <w:spacing w:before="0" w:after="160" w:line="280" w:lineRule="auto"/>
      </w:pPr>
      <w:r>
        <w:rPr>
          <w:rFonts w:ascii="Calibri" w:hAnsi="Calibri" w:eastAsia="Calibri"/>
        </w:rPr>
        <w:t>Security tests for NoSQL injection, mass assignment, rate limiting, secret redaction and privileged access.</w:t>
      </w:r>
    </w:p>
    <w:p>
      <w:pPr>
        <w:keepNext w:val="0"/>
        <w:keepLines w:val="0"/>
        <w:widowControl/>
        <w:numPr>
          <w:ilvl w:val="0"/>
          <w:numId w:val="10"/>
        </w:numPr>
        <w:spacing w:before="0" w:after="160" w:line="280" w:lineRule="auto"/>
      </w:pPr>
      <w:r>
        <w:rPr>
          <w:rFonts w:ascii="Calibri" w:hAnsi="Calibri" w:eastAsia="Calibri"/>
        </w:rPr>
        <w:t>Fresh Docker Compose startup and smoke test from a clean checkout.</w:t>
      </w:r>
    </w:p>
    <w:p>
      <w:pPr>
        <w:pStyle w:val="Heading2"/>
        <w:keepNext/>
      </w:pPr>
      <w:r>
        <w:t>24.2 Golden acceptance scenarios</w:t>
      </w:r>
    </w:p>
    <w:tbl>
      <w:tblPr>
        <w:tblStyle w:val="TableGrid"/>
        <w:tblW w:type="dxa" w:w="9360"/>
        <w:jc w:val="left"/>
        <w:tblLayout w:type="fixed"/>
        <w:tblLook w:firstColumn="1" w:firstRow="1" w:lastColumn="0" w:lastRow="0" w:noHBand="0" w:noVBand="1" w:val="04A0"/>
        <w:tblInd w:type="dxa" w:w="120"/>
      </w:tblPr>
      <w:tblGrid>
        <w:gridCol w:w="2200"/>
        <w:gridCol w:w="7160"/>
      </w:tblGrid>
      <w:tr>
        <w:trPr>
          <w:tblHeader w:val="true"/>
        </w:trPr>
        <w:tc>
          <w:tcPr>
            <w:tcW w:type="dxa" w:w="2200"/>
            <w:shd w:fill="0B2545"/>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40" w:lineRule="auto"/>
            </w:pPr>
            <w:r>
              <w:rPr>
                <w:rFonts w:ascii="Calibri" w:hAnsi="Calibri" w:eastAsia="Calibri"/>
                <w:b/>
                <w:color w:val="FFFFFF"/>
                <w:sz w:val="18"/>
              </w:rPr>
              <w:t>Scenario</w:t>
            </w:r>
          </w:p>
        </w:tc>
        <w:tc>
          <w:tcPr>
            <w:tcW w:type="dxa" w:w="7160"/>
            <w:shd w:fill="0B2545"/>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40" w:lineRule="auto"/>
            </w:pPr>
            <w:r>
              <w:rPr>
                <w:rFonts w:ascii="Calibri" w:hAnsi="Calibri" w:eastAsia="Calibri"/>
                <w:b/>
                <w:color w:val="FFFFFF"/>
                <w:sz w:val="18"/>
              </w:rPr>
              <w:t>Pass condition</w:t>
            </w:r>
          </w:p>
        </w:tc>
      </w:tr>
      <w:tr>
        <w:trPr/>
        <w:tc>
          <w:tcPr>
            <w:tcW w:type="dxa" w:w="22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8"/>
              </w:rPr>
              <w:t>Tenant isolation</w:t>
            </w:r>
          </w:p>
        </w:tc>
        <w:tc>
          <w:tcPr>
            <w:tcW w:type="dxa" w:w="716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8"/>
              </w:rPr>
              <w:t>Create two tenants with similar users and records; prove no cross-tenant read, update, report, file or notification access.</w:t>
            </w:r>
          </w:p>
        </w:tc>
      </w:tr>
      <w:tr>
        <w:trPr/>
        <w:tc>
          <w:tcPr>
            <w:tcW w:type="dxa" w:w="22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8"/>
              </w:rPr>
              <w:t>User lifecycle</w:t>
            </w:r>
          </w:p>
        </w:tc>
        <w:tc>
          <w:tcPr>
            <w:tcW w:type="dxa" w:w="716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8"/>
              </w:rPr>
              <w:t>Invite user, verify email, enroll MFA, assign role, revoke a session and suspend account.</w:t>
            </w:r>
          </w:p>
        </w:tc>
      </w:tr>
      <w:tr>
        <w:trPr/>
        <w:tc>
          <w:tcPr>
            <w:tcW w:type="dxa" w:w="22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8"/>
              </w:rPr>
              <w:t>RBAC</w:t>
            </w:r>
          </w:p>
        </w:tc>
        <w:tc>
          <w:tcPr>
            <w:tcW w:type="dxa" w:w="716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8"/>
              </w:rPr>
              <w:t>Exercise platform, tenant, organization-unit, team and own-record permissions from API and service layer.</w:t>
            </w:r>
          </w:p>
        </w:tc>
      </w:tr>
      <w:tr>
        <w:trPr/>
        <w:tc>
          <w:tcPr>
            <w:tcW w:type="dxa" w:w="22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8"/>
              </w:rPr>
              <w:t>Billing</w:t>
            </w:r>
          </w:p>
        </w:tc>
        <w:tc>
          <w:tcPr>
            <w:tcW w:type="dxa" w:w="716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8"/>
              </w:rPr>
              <w:t>Start subscription, record a transaction charge, apply credit, generate invoice and enforce quota.</w:t>
            </w:r>
          </w:p>
        </w:tc>
      </w:tr>
      <w:tr>
        <w:trPr/>
        <w:tc>
          <w:tcPr>
            <w:tcW w:type="dxa" w:w="22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8"/>
              </w:rPr>
              <w:t>Razorpay</w:t>
            </w:r>
          </w:p>
        </w:tc>
        <w:tc>
          <w:tcPr>
            <w:tcW w:type="dxa" w:w="716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8"/>
              </w:rPr>
              <w:t>Create test order, verify success, replay webhook, issue partial refund and reconcile status.</w:t>
            </w:r>
          </w:p>
        </w:tc>
      </w:tr>
      <w:tr>
        <w:trPr/>
        <w:tc>
          <w:tcPr>
            <w:tcW w:type="dxa" w:w="22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8"/>
              </w:rPr>
              <w:t>Communication</w:t>
            </w:r>
          </w:p>
        </w:tc>
        <w:tc>
          <w:tcPr>
            <w:tcW w:type="dxa" w:w="716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8"/>
              </w:rPr>
              <w:t>Render and queue in-app/email/SMS/push notifications, respect preference and recover from provider failure.</w:t>
            </w:r>
          </w:p>
        </w:tc>
      </w:tr>
      <w:tr>
        <w:trPr/>
        <w:tc>
          <w:tcPr>
            <w:tcW w:type="dxa" w:w="22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8"/>
              </w:rPr>
              <w:t>Reporting</w:t>
            </w:r>
          </w:p>
        </w:tc>
        <w:tc>
          <w:tcPr>
            <w:tcW w:type="dxa" w:w="716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8"/>
              </w:rPr>
              <w:t>Run tenant-filtered dashboard query, asynchronous export and scheduled delivery.</w:t>
            </w:r>
          </w:p>
        </w:tc>
      </w:tr>
      <w:tr>
        <w:trPr/>
        <w:tc>
          <w:tcPr>
            <w:tcW w:type="dxa" w:w="22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8"/>
              </w:rPr>
              <w:t>Recovery</w:t>
            </w:r>
          </w:p>
        </w:tc>
        <w:tc>
          <w:tcPr>
            <w:tcW w:type="dxa" w:w="716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8"/>
              </w:rPr>
              <w:t>Stop worker during an outbox event, restart it and prove one final side effect.</w:t>
            </w:r>
          </w:p>
        </w:tc>
      </w:tr>
      <w:tr>
        <w:trPr/>
        <w:tc>
          <w:tcPr>
            <w:tcW w:type="dxa" w:w="22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8"/>
              </w:rPr>
              <w:t>Generation</w:t>
            </w:r>
          </w:p>
        </w:tc>
        <w:tc>
          <w:tcPr>
            <w:tcW w:type="dxa" w:w="716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8"/>
              </w:rPr>
              <w:t>Apply a new project configuration and start the backend without editing protected core files.</w:t>
            </w:r>
          </w:p>
        </w:tc>
      </w:tr>
    </w:tbl>
    <w:p>
      <w:pPr>
        <w:keepNext w:val="0"/>
        <w:keepLines w:val="0"/>
        <w:widowControl/>
        <w:spacing w:before="0" w:after="40" w:line="264" w:lineRule="auto"/>
        <w:jc w:val="left"/>
      </w:pPr>
      <w:r>
        <w:rPr>
          <w:rFonts w:ascii="Calibri" w:hAnsi="Calibri" w:eastAsia="Calibri"/>
          <w:b w:val="0"/>
          <w:i w:val="0"/>
          <w:color w:val="172033"/>
          <w:sz w:val="22"/>
        </w:rPr>
      </w:r>
    </w:p>
    <w:p>
      <w:pPr>
        <w:pStyle w:val="Heading1"/>
        <w:keepNext/>
      </w:pPr>
      <w:r>
        <w:t>25. Delivery package and definition of done</w:t>
      </w:r>
    </w:p>
    <w:p>
      <w:pPr>
        <w:pStyle w:val="Heading2"/>
        <w:keepNext/>
      </w:pPr>
      <w:r>
        <w:t>25.1 Required repository deliverables</w:t>
      </w:r>
    </w:p>
    <w:p>
      <w:pPr>
        <w:keepNext w:val="0"/>
        <w:keepLines w:val="0"/>
        <w:widowControl/>
        <w:numPr>
          <w:ilvl w:val="0"/>
          <w:numId w:val="10"/>
        </w:numPr>
        <w:spacing w:before="0" w:after="160" w:line="280" w:lineRule="auto"/>
      </w:pPr>
      <w:r>
        <w:rPr>
          <w:rFonts w:ascii="Calibri" w:hAnsi="Calibri" w:eastAsia="Calibri"/>
        </w:rPr>
        <w:t>NestJS API application and BullMQ worker application.</w:t>
      </w:r>
    </w:p>
    <w:p>
      <w:pPr>
        <w:keepNext w:val="0"/>
        <w:keepLines w:val="0"/>
        <w:widowControl/>
        <w:numPr>
          <w:ilvl w:val="0"/>
          <w:numId w:val="10"/>
        </w:numPr>
        <w:spacing w:before="0" w:after="160" w:line="280" w:lineRule="auto"/>
      </w:pPr>
      <w:r>
        <w:rPr>
          <w:rFonts w:ascii="Calibri" w:hAnsi="Calibri" w:eastAsia="Calibri"/>
        </w:rPr>
        <w:t>Core modules, provider interfaces, mock adapters and Razorpay adapter.</w:t>
      </w:r>
    </w:p>
    <w:p>
      <w:pPr>
        <w:keepNext w:val="0"/>
        <w:keepLines w:val="0"/>
        <w:widowControl/>
        <w:numPr>
          <w:ilvl w:val="0"/>
          <w:numId w:val="10"/>
        </w:numPr>
        <w:spacing w:before="0" w:after="160" w:line="280" w:lineRule="auto"/>
      </w:pPr>
      <w:r>
        <w:rPr>
          <w:rFonts w:ascii="Calibri" w:hAnsi="Calibri" w:eastAsia="Calibri"/>
        </w:rPr>
        <w:t>MongoDB schemas, indexes, migrations and seed data.</w:t>
      </w:r>
    </w:p>
    <w:p>
      <w:pPr>
        <w:keepNext w:val="0"/>
        <w:keepLines w:val="0"/>
        <w:widowControl/>
        <w:numPr>
          <w:ilvl w:val="0"/>
          <w:numId w:val="10"/>
        </w:numPr>
        <w:spacing w:before="0" w:after="160" w:line="280" w:lineRule="auto"/>
      </w:pPr>
      <w:r>
        <w:rPr>
          <w:rFonts w:ascii="Calibri" w:hAnsi="Calibri" w:eastAsia="Calibri"/>
        </w:rPr>
        <w:t>Versioned configuration schema and example configurations.</w:t>
      </w:r>
    </w:p>
    <w:p>
      <w:pPr>
        <w:keepNext w:val="0"/>
        <w:keepLines w:val="0"/>
        <w:widowControl/>
        <w:numPr>
          <w:ilvl w:val="0"/>
          <w:numId w:val="10"/>
        </w:numPr>
        <w:spacing w:before="0" w:after="160" w:line="280" w:lineRule="auto"/>
      </w:pPr>
      <w:r>
        <w:rPr>
          <w:rFonts w:ascii="Calibri" w:hAnsi="Calibri" w:eastAsia="Calibri"/>
        </w:rPr>
        <w:t>OpenAPI specification and generated API documentation.</w:t>
      </w:r>
    </w:p>
    <w:p>
      <w:pPr>
        <w:keepNext w:val="0"/>
        <w:keepLines w:val="0"/>
        <w:widowControl/>
        <w:numPr>
          <w:ilvl w:val="0"/>
          <w:numId w:val="10"/>
        </w:numPr>
        <w:spacing w:before="0" w:after="160" w:line="280" w:lineRule="auto"/>
      </w:pPr>
      <w:r>
        <w:rPr>
          <w:rFonts w:ascii="Calibri" w:hAnsi="Calibri" w:eastAsia="Calibri"/>
        </w:rPr>
        <w:t>Docker Compose environment with MongoDB replica set, Redis and local S3-compatible storage.</w:t>
      </w:r>
    </w:p>
    <w:p>
      <w:pPr>
        <w:keepNext w:val="0"/>
        <w:keepLines w:val="0"/>
        <w:widowControl/>
        <w:numPr>
          <w:ilvl w:val="0"/>
          <w:numId w:val="10"/>
        </w:numPr>
        <w:spacing w:before="0" w:after="160" w:line="280" w:lineRule="auto"/>
      </w:pPr>
      <w:r>
        <w:rPr>
          <w:rFonts w:ascii="Calibri" w:hAnsi="Calibri" w:eastAsia="Calibri"/>
        </w:rPr>
        <w:t>Automated test suites, test data factories and golden acceptance scenarios.</w:t>
      </w:r>
    </w:p>
    <w:p>
      <w:pPr>
        <w:keepNext w:val="0"/>
        <w:keepLines w:val="0"/>
        <w:widowControl/>
        <w:numPr>
          <w:ilvl w:val="0"/>
          <w:numId w:val="10"/>
        </w:numPr>
        <w:spacing w:before="0" w:after="160" w:line="280" w:lineRule="auto"/>
      </w:pPr>
      <w:r>
        <w:rPr>
          <w:rFonts w:ascii="Calibri" w:hAnsi="Calibri" w:eastAsia="Calibri"/>
        </w:rPr>
        <w:t>Operational runbook covering configuration, startup, backup/restore, queues, webhooks and reconciliation.</w:t>
      </w:r>
    </w:p>
    <w:p>
      <w:pPr>
        <w:keepNext w:val="0"/>
        <w:keepLines w:val="0"/>
        <w:widowControl/>
        <w:numPr>
          <w:ilvl w:val="0"/>
          <w:numId w:val="10"/>
        </w:numPr>
        <w:spacing w:before="0" w:after="160" w:line="280" w:lineRule="auto"/>
      </w:pPr>
      <w:r>
        <w:rPr>
          <w:rFonts w:ascii="Calibri" w:hAnsi="Calibri" w:eastAsia="Calibri"/>
        </w:rPr>
        <w:t>Architecture decision records for tenancy, authentication, billing, payment and audit choices.</w:t>
      </w:r>
    </w:p>
    <w:p>
      <w:pPr>
        <w:pStyle w:val="Heading2"/>
        <w:keepNext/>
      </w:pPr>
      <w:r>
        <w:t>25.2 Definition of done</w:t>
      </w:r>
    </w:p>
    <w:p>
      <w:pPr>
        <w:keepNext w:val="0"/>
        <w:keepLines w:val="0"/>
        <w:widowControl/>
        <w:numPr>
          <w:ilvl w:val="0"/>
          <w:numId w:val="10"/>
        </w:numPr>
        <w:spacing w:before="0" w:after="160" w:line="280" w:lineRule="auto"/>
      </w:pPr>
      <w:r>
        <w:rPr>
          <w:rFonts w:ascii="Calibri" w:hAnsi="Calibri" w:eastAsia="Calibri"/>
        </w:rPr>
        <w:t>A clean repository starts locally with one documented command and no paid credentials.</w:t>
      </w:r>
    </w:p>
    <w:p>
      <w:pPr>
        <w:keepNext w:val="0"/>
        <w:keepLines w:val="0"/>
        <w:widowControl/>
        <w:numPr>
          <w:ilvl w:val="0"/>
          <w:numId w:val="10"/>
        </w:numPr>
        <w:spacing w:before="0" w:after="160" w:line="280" w:lineRule="auto"/>
      </w:pPr>
      <w:r>
        <w:rPr>
          <w:rFonts w:ascii="Calibri" w:hAnsi="Calibri" w:eastAsia="Calibri"/>
        </w:rPr>
        <w:t>Demo platform admin, tenant admin and normal-user accounts are seeded safely for local use.</w:t>
      </w:r>
    </w:p>
    <w:p>
      <w:pPr>
        <w:keepNext w:val="0"/>
        <w:keepLines w:val="0"/>
        <w:widowControl/>
        <w:numPr>
          <w:ilvl w:val="0"/>
          <w:numId w:val="10"/>
        </w:numPr>
        <w:spacing w:before="0" w:after="160" w:line="280" w:lineRule="auto"/>
      </w:pPr>
      <w:r>
        <w:rPr>
          <w:rFonts w:ascii="Calibri" w:hAnsi="Calibri" w:eastAsia="Calibri"/>
        </w:rPr>
        <w:t>Every mandatory core module exposes working APIs and OpenAPI documentation.</w:t>
      </w:r>
    </w:p>
    <w:p>
      <w:pPr>
        <w:keepNext w:val="0"/>
        <w:keepLines w:val="0"/>
        <w:widowControl/>
        <w:numPr>
          <w:ilvl w:val="0"/>
          <w:numId w:val="10"/>
        </w:numPr>
        <w:spacing w:before="0" w:after="160" w:line="280" w:lineRule="auto"/>
      </w:pPr>
      <w:r>
        <w:rPr>
          <w:rFonts w:ascii="Calibri" w:hAnsi="Calibri" w:eastAsia="Calibri"/>
        </w:rPr>
        <w:t>MongoDB indexes and migrations apply idempotently on a clean and an existing database.</w:t>
      </w:r>
    </w:p>
    <w:p>
      <w:pPr>
        <w:keepNext w:val="0"/>
        <w:keepLines w:val="0"/>
        <w:widowControl/>
        <w:numPr>
          <w:ilvl w:val="0"/>
          <w:numId w:val="10"/>
        </w:numPr>
        <w:spacing w:before="0" w:after="160" w:line="280" w:lineRule="auto"/>
      </w:pPr>
      <w:r>
        <w:rPr>
          <w:rFonts w:ascii="Calibri" w:hAnsi="Calibri" w:eastAsia="Calibri"/>
        </w:rPr>
        <w:t>Tenant and authorization isolation tests pass across API, repository, queue, report and file paths.</w:t>
      </w:r>
    </w:p>
    <w:p>
      <w:pPr>
        <w:keepNext w:val="0"/>
        <w:keepLines w:val="0"/>
        <w:widowControl/>
        <w:numPr>
          <w:ilvl w:val="0"/>
          <w:numId w:val="10"/>
        </w:numPr>
        <w:spacing w:before="0" w:after="160" w:line="280" w:lineRule="auto"/>
      </w:pPr>
      <w:r>
        <w:rPr>
          <w:rFonts w:ascii="Calibri" w:hAnsi="Calibri" w:eastAsia="Calibri"/>
        </w:rPr>
        <w:t>Subscription, transaction billing, Razorpay test-mode payment/refund, reporting and all communication channels pass acceptance tests.</w:t>
      </w:r>
    </w:p>
    <w:p>
      <w:pPr>
        <w:keepNext w:val="0"/>
        <w:keepLines w:val="0"/>
        <w:widowControl/>
        <w:numPr>
          <w:ilvl w:val="0"/>
          <w:numId w:val="10"/>
        </w:numPr>
        <w:spacing w:before="0" w:after="160" w:line="280" w:lineRule="auto"/>
      </w:pPr>
      <w:r>
        <w:rPr>
          <w:rFonts w:ascii="Calibri" w:hAnsi="Calibri" w:eastAsia="Calibri"/>
        </w:rPr>
        <w:t>Mock providers are the safe default; live providers activate only through validated secret references.</w:t>
      </w:r>
    </w:p>
    <w:p>
      <w:pPr>
        <w:keepNext w:val="0"/>
        <w:keepLines w:val="0"/>
        <w:widowControl/>
        <w:numPr>
          <w:ilvl w:val="0"/>
          <w:numId w:val="10"/>
        </w:numPr>
        <w:spacing w:before="0" w:after="160" w:line="280" w:lineRule="auto"/>
      </w:pPr>
      <w:r>
        <w:rPr>
          <w:rFonts w:ascii="Calibri" w:hAnsi="Calibri" w:eastAsia="Calibri"/>
        </w:rPr>
        <w:t>No client-specific business entity or visual UI is embedded in the protected core.</w:t>
      </w:r>
    </w:p>
    <w:p>
      <w:pPr>
        <w:keepNext w:val="0"/>
        <w:keepLines w:val="0"/>
        <w:widowControl/>
        <w:numPr>
          <w:ilvl w:val="0"/>
          <w:numId w:val="10"/>
        </w:numPr>
        <w:spacing w:before="0" w:after="160" w:line="280" w:lineRule="auto"/>
      </w:pPr>
      <w:r>
        <w:rPr>
          <w:rFonts w:ascii="Calibri" w:hAnsi="Calibri" w:eastAsia="Calibri"/>
        </w:rPr>
        <w:t>A sample client project can add one domain module without modifying authentication, tenancy, RBAC, billing, payments, reporting, communication or audit internals.</w:t>
      </w:r>
    </w:p>
    <w:p>
      <w:pPr>
        <w:keepNext w:val="0"/>
        <w:keepLines w:val="0"/>
        <w:widowControl/>
        <w:numPr>
          <w:ilvl w:val="0"/>
          <w:numId w:val="10"/>
        </w:numPr>
        <w:spacing w:before="0" w:after="160" w:line="280" w:lineRule="auto"/>
      </w:pPr>
      <w:r>
        <w:rPr>
          <w:rFonts w:ascii="Calibri" w:hAnsi="Calibri" w:eastAsia="Calibri"/>
        </w:rPr>
        <w:t>CI passes lint, type-check, tests, security scans, OpenAPI check and Docker smoke test.</w:t>
      </w:r>
    </w:p>
    <w:p>
      <w:r>
        <w:br w:type="page"/>
      </w:r>
    </w:p>
    <w:p>
      <w:pPr>
        <w:pStyle w:val="Heading1"/>
        <w:keepNext/>
      </w:pPr>
      <w:r>
        <w:t>Appendix A. Project configuration contract</w:t>
      </w:r>
    </w:p>
    <w:p>
      <w:pPr>
        <w:keepNext w:val="0"/>
        <w:keepLines w:val="0"/>
        <w:widowControl/>
        <w:spacing w:before="0" w:after="120" w:line="264" w:lineRule="auto"/>
        <w:jc w:val="left"/>
      </w:pPr>
      <w:r>
        <w:rPr>
          <w:rFonts w:ascii="Calibri" w:hAnsi="Calibri" w:eastAsia="Calibri"/>
          <w:b w:val="0"/>
          <w:i w:val="0"/>
          <w:color w:val="172033"/>
          <w:sz w:val="22"/>
        </w:rPr>
        <w:t>A project factory or LLM shall generate configuration values matching a versioned schema. The example below illustrates the boundary: core systems already exist; configuration selects policies, limits, plans, roles and providers.</w:t>
      </w:r>
    </w:p>
    <w:tbl>
      <w:tblPr>
        <w:tblW w:type="dxa" w:w="9360"/>
        <w:jc w:val="left"/>
        <w:tblLayout w:type="fixed"/>
        <w:tblLook w:firstColumn="1" w:firstRow="1" w:lastColumn="0" w:lastRow="0" w:noHBand="0" w:noVBand="1" w:val="04A0"/>
        <w:tblInd w:type="dxa" w:w="160"/>
      </w:tblPr>
      <w:tblGrid>
        <w:gridCol w:w="9360"/>
      </w:tblGrid>
      <w:tr>
        <w:trPr/>
        <w:tc>
          <w:tcPr>
            <w:tcW w:type="dxa" w:w="9360"/>
            <w:shd w:fill="F7F9FC"/>
            <w:tcBorders>
              <w:top w:val="single" w:sz="6" w:color="CAD6E2"/>
              <w:left w:val="single" w:sz="6" w:color="CAD6E2"/>
              <w:bottom w:val="single" w:sz="6" w:color="CAD6E2"/>
              <w:right w:val="single" w:sz="6" w:color="CAD6E2"/>
              <w:insideH w:val="single" w:sz="6" w:color="CAD6E2"/>
              <w:insideV w:val="single" w:sz="6" w:color="CAD6E2"/>
            </w:tcBorders>
            <w:tcMar>
              <w:top w:w="140" w:type="dxa"/>
              <w:bottom w:w="140" w:type="dxa"/>
              <w:start w:w="160" w:type="dxa"/>
              <w:end w:w="160" w:type="dxa"/>
            </w:tcMar>
          </w:tcPr>
          <w:p>
            <w:pPr>
              <w:keepNext w:val="0"/>
              <w:keepLines w:val="0"/>
              <w:widowControl/>
              <w:spacing w:before="40" w:after="40" w:line="240" w:lineRule="auto"/>
            </w:pPr>
            <w:r>
              <w:rPr>
                <w:rFonts w:ascii="Courier New" w:hAnsi="Courier New" w:eastAsia="Courier New"/>
                <w:color w:val="172033"/>
                <w:sz w:val="16"/>
              </w:rPr>
              <w:t>schemaVersion: "1.0"</w:t>
              <w:br/>
            </w:r>
            <w:r>
              <w:rPr>
                <w:rFonts w:ascii="Courier New" w:hAnsi="Courier New" w:eastAsia="Courier New"/>
                <w:color w:val="172033"/>
                <w:sz w:val="16"/>
              </w:rPr>
              <w:t>project:</w:t>
              <w:br/>
            </w:r>
            <w:r>
              <w:rPr>
                <w:rFonts w:ascii="Courier New" w:hAnsi="Courier New" w:eastAsia="Courier New"/>
                <w:color w:val="172033"/>
                <w:sz w:val="16"/>
              </w:rPr>
              <w:t xml:space="preserve">  id: visa-ready</w:t>
              <w:br/>
            </w:r>
            <w:r>
              <w:rPr>
                <w:rFonts w:ascii="Courier New" w:hAnsi="Courier New" w:eastAsia="Courier New"/>
                <w:color w:val="172033"/>
                <w:sz w:val="16"/>
              </w:rPr>
              <w:t xml:space="preserve">  name: Visa Ready</w:t>
              <w:br/>
            </w:r>
            <w:r>
              <w:rPr>
                <w:rFonts w:ascii="Courier New" w:hAnsi="Courier New" w:eastAsia="Courier New"/>
                <w:color w:val="172033"/>
                <w:sz w:val="16"/>
              </w:rPr>
              <w:t xml:space="preserve">  timezone: Asia/Kolkata</w:t>
              <w:br/>
            </w:r>
            <w:r>
              <w:rPr>
                <w:rFonts w:ascii="Courier New" w:hAnsi="Courier New" w:eastAsia="Courier New"/>
                <w:color w:val="172033"/>
                <w:sz w:val="16"/>
              </w:rPr>
              <w:t xml:space="preserve">  currency: INR</w:t>
              <w:br/>
            </w:r>
            <w:r>
              <w:rPr>
                <w:rFonts w:ascii="Courier New" w:hAnsi="Courier New" w:eastAsia="Courier New"/>
                <w:color w:val="172033"/>
                <w:sz w:val="16"/>
              </w:rPr>
              <w:br/>
            </w:r>
            <w:r>
              <w:rPr>
                <w:rFonts w:ascii="Courier New" w:hAnsi="Courier New" w:eastAsia="Courier New"/>
                <w:color w:val="172033"/>
                <w:sz w:val="16"/>
              </w:rPr>
              <w:t>tenancy:</w:t>
              <w:br/>
            </w:r>
            <w:r>
              <w:rPr>
                <w:rFonts w:ascii="Courier New" w:hAnsi="Courier New" w:eastAsia="Courier New"/>
                <w:color w:val="172033"/>
                <w:sz w:val="16"/>
              </w:rPr>
              <w:t xml:space="preserve">  mode: multi_tenant</w:t>
              <w:br/>
            </w:r>
            <w:r>
              <w:rPr>
                <w:rFonts w:ascii="Courier New" w:hAnsi="Courier New" w:eastAsia="Courier New"/>
                <w:color w:val="172033"/>
                <w:sz w:val="16"/>
              </w:rPr>
              <w:t xml:space="preserve">  organizationLevels: [client, branch]</w:t>
              <w:br/>
            </w:r>
            <w:r>
              <w:rPr>
                <w:rFonts w:ascii="Courier New" w:hAnsi="Courier New" w:eastAsia="Courier New"/>
                <w:color w:val="172033"/>
                <w:sz w:val="16"/>
              </w:rPr>
              <w:t xml:space="preserve">  allowMultipleMemberships: true</w:t>
              <w:br/>
            </w:r>
            <w:r>
              <w:rPr>
                <w:rFonts w:ascii="Courier New" w:hAnsi="Courier New" w:eastAsia="Courier New"/>
                <w:color w:val="172033"/>
                <w:sz w:val="16"/>
              </w:rPr>
              <w:br/>
            </w:r>
            <w:r>
              <w:rPr>
                <w:rFonts w:ascii="Courier New" w:hAnsi="Courier New" w:eastAsia="Courier New"/>
                <w:color w:val="172033"/>
                <w:sz w:val="16"/>
              </w:rPr>
              <w:t>authentication:</w:t>
              <w:br/>
            </w:r>
            <w:r>
              <w:rPr>
                <w:rFonts w:ascii="Courier New" w:hAnsi="Courier New" w:eastAsia="Courier New"/>
                <w:color w:val="172033"/>
                <w:sz w:val="16"/>
              </w:rPr>
              <w:t xml:space="preserve">  registration: invitation_only</w:t>
              <w:br/>
            </w:r>
            <w:r>
              <w:rPr>
                <w:rFonts w:ascii="Courier New" w:hAnsi="Courier New" w:eastAsia="Courier New"/>
                <w:color w:val="172033"/>
                <w:sz w:val="16"/>
              </w:rPr>
              <w:t xml:space="preserve">  mfa: optional</w:t>
              <w:br/>
            </w:r>
            <w:r>
              <w:rPr>
                <w:rFonts w:ascii="Courier New" w:hAnsi="Courier New" w:eastAsia="Courier New"/>
                <w:color w:val="172033"/>
                <w:sz w:val="16"/>
              </w:rPr>
              <w:t xml:space="preserve">  accessTokenMinutes: 15</w:t>
              <w:br/>
            </w:r>
            <w:r>
              <w:rPr>
                <w:rFonts w:ascii="Courier New" w:hAnsi="Courier New" w:eastAsia="Courier New"/>
                <w:color w:val="172033"/>
                <w:sz w:val="16"/>
              </w:rPr>
              <w:t xml:space="preserve">  refreshTokenDays: 7</w:t>
              <w:br/>
            </w:r>
            <w:r>
              <w:rPr>
                <w:rFonts w:ascii="Courier New" w:hAnsi="Courier New" w:eastAsia="Courier New"/>
                <w:color w:val="172033"/>
                <w:sz w:val="16"/>
              </w:rPr>
              <w:t xml:space="preserve">  loginMethods: [email_password, google_oidc]</w:t>
              <w:br/>
            </w:r>
            <w:r>
              <w:rPr>
                <w:rFonts w:ascii="Courier New" w:hAnsi="Courier New" w:eastAsia="Courier New"/>
                <w:color w:val="172033"/>
                <w:sz w:val="16"/>
              </w:rPr>
              <w:br/>
            </w:r>
            <w:r>
              <w:rPr>
                <w:rFonts w:ascii="Courier New" w:hAnsi="Courier New" w:eastAsia="Courier New"/>
                <w:color w:val="172033"/>
                <w:sz w:val="16"/>
              </w:rPr>
              <w:t>roles:</w:t>
              <w:br/>
            </w:r>
            <w:r>
              <w:rPr>
                <w:rFonts w:ascii="Courier New" w:hAnsi="Courier New" w:eastAsia="Courier New"/>
                <w:color w:val="172033"/>
                <w:sz w:val="16"/>
              </w:rPr>
              <w:t xml:space="preserve">  - key: tenant_admin</w:t>
              <w:br/>
            </w:r>
            <w:r>
              <w:rPr>
                <w:rFonts w:ascii="Courier New" w:hAnsi="Courier New" w:eastAsia="Courier New"/>
                <w:color w:val="172033"/>
                <w:sz w:val="16"/>
              </w:rPr>
              <w:t xml:space="preserve">    permissions: [users.manage, roles.manage, billing.view, reports.view]</w:t>
              <w:br/>
            </w:r>
            <w:r>
              <w:rPr>
                <w:rFonts w:ascii="Courier New" w:hAnsi="Courier New" w:eastAsia="Courier New"/>
                <w:color w:val="172033"/>
                <w:sz w:val="16"/>
              </w:rPr>
              <w:t xml:space="preserve">  - key: operator</w:t>
              <w:br/>
            </w:r>
            <w:r>
              <w:rPr>
                <w:rFonts w:ascii="Courier New" w:hAnsi="Courier New" w:eastAsia="Courier New"/>
                <w:color w:val="172033"/>
                <w:sz w:val="16"/>
              </w:rPr>
              <w:t xml:space="preserve">    permissions: [records.create, records.view_own, files.upload]</w:t>
              <w:br/>
            </w:r>
            <w:r>
              <w:rPr>
                <w:rFonts w:ascii="Courier New" w:hAnsi="Courier New" w:eastAsia="Courier New"/>
                <w:color w:val="172033"/>
                <w:sz w:val="16"/>
              </w:rPr>
              <w:br/>
            </w:r>
            <w:r>
              <w:rPr>
                <w:rFonts w:ascii="Courier New" w:hAnsi="Courier New" w:eastAsia="Courier New"/>
                <w:color w:val="172033"/>
                <w:sz w:val="16"/>
              </w:rPr>
              <w:t>billing:</w:t>
              <w:br/>
            </w:r>
            <w:r>
              <w:rPr>
                <w:rFonts w:ascii="Courier New" w:hAnsi="Courier New" w:eastAsia="Courier New"/>
                <w:color w:val="172033"/>
                <w:sz w:val="16"/>
              </w:rPr>
              <w:t xml:space="preserve">  chargingMode: [subscription, transaction]</w:t>
              <w:br/>
            </w:r>
            <w:r>
              <w:rPr>
                <w:rFonts w:ascii="Courier New" w:hAnsi="Courier New" w:eastAsia="Courier New"/>
                <w:color w:val="172033"/>
                <w:sz w:val="16"/>
              </w:rPr>
              <w:t xml:space="preserve">  plans:</w:t>
              <w:br/>
            </w:r>
            <w:r>
              <w:rPr>
                <w:rFonts w:ascii="Courier New" w:hAnsi="Courier New" w:eastAsia="Courier New"/>
                <w:color w:val="172033"/>
                <w:sz w:val="16"/>
              </w:rPr>
              <w:t xml:space="preserve">    - key: standard</w:t>
              <w:br/>
            </w:r>
            <w:r>
              <w:rPr>
                <w:rFonts w:ascii="Courier New" w:hAnsi="Courier New" w:eastAsia="Courier New"/>
                <w:color w:val="172033"/>
                <w:sz w:val="16"/>
              </w:rPr>
              <w:t xml:space="preserve">      monthlyAmountPaise: 499900</w:t>
              <w:br/>
            </w:r>
            <w:r>
              <w:rPr>
                <w:rFonts w:ascii="Courier New" w:hAnsi="Courier New" w:eastAsia="Courier New"/>
                <w:color w:val="172033"/>
                <w:sz w:val="16"/>
              </w:rPr>
              <w:t xml:space="preserve">      transactionAmountPaise: 200</w:t>
              <w:br/>
            </w:r>
            <w:r>
              <w:rPr>
                <w:rFonts w:ascii="Courier New" w:hAnsi="Courier New" w:eastAsia="Courier New"/>
                <w:color w:val="172033"/>
                <w:sz w:val="16"/>
              </w:rPr>
              <w:t xml:space="preserve">      userLimit: 100</w:t>
              <w:br/>
            </w:r>
            <w:r>
              <w:rPr>
                <w:rFonts w:ascii="Courier New" w:hAnsi="Courier New" w:eastAsia="Courier New"/>
                <w:color w:val="172033"/>
                <w:sz w:val="16"/>
              </w:rPr>
              <w:br/>
            </w:r>
            <w:r>
              <w:rPr>
                <w:rFonts w:ascii="Courier New" w:hAnsi="Courier New" w:eastAsia="Courier New"/>
                <w:color w:val="172033"/>
                <w:sz w:val="16"/>
              </w:rPr>
              <w:t>payments:</w:t>
              <w:br/>
            </w:r>
            <w:r>
              <w:rPr>
                <w:rFonts w:ascii="Courier New" w:hAnsi="Courier New" w:eastAsia="Courier New"/>
                <w:color w:val="172033"/>
                <w:sz w:val="16"/>
              </w:rPr>
              <w:t xml:space="preserve">  provider: razorpay</w:t>
              <w:br/>
            </w:r>
            <w:r>
              <w:rPr>
                <w:rFonts w:ascii="Courier New" w:hAnsi="Courier New" w:eastAsia="Courier New"/>
                <w:color w:val="172033"/>
                <w:sz w:val="16"/>
              </w:rPr>
              <w:t xml:space="preserve">  mode: test</w:t>
              <w:br/>
            </w:r>
            <w:r>
              <w:rPr>
                <w:rFonts w:ascii="Courier New" w:hAnsi="Courier New" w:eastAsia="Courier New"/>
                <w:color w:val="172033"/>
                <w:sz w:val="16"/>
              </w:rPr>
              <w:t xml:space="preserve">  credentialRef: secret://projects/visa-ready/razorpay</w:t>
              <w:br/>
            </w:r>
            <w:r>
              <w:rPr>
                <w:rFonts w:ascii="Courier New" w:hAnsi="Courier New" w:eastAsia="Courier New"/>
                <w:color w:val="172033"/>
                <w:sz w:val="16"/>
              </w:rPr>
              <w:br/>
            </w:r>
            <w:r>
              <w:rPr>
                <w:rFonts w:ascii="Courier New" w:hAnsi="Courier New" w:eastAsia="Courier New"/>
                <w:color w:val="172033"/>
                <w:sz w:val="16"/>
              </w:rPr>
              <w:t>communication:</w:t>
              <w:br/>
            </w:r>
            <w:r>
              <w:rPr>
                <w:rFonts w:ascii="Courier New" w:hAnsi="Courier New" w:eastAsia="Courier New"/>
                <w:color w:val="172033"/>
                <w:sz w:val="16"/>
              </w:rPr>
              <w:t xml:space="preserve">  email: mock</w:t>
              <w:br/>
            </w:r>
            <w:r>
              <w:rPr>
                <w:rFonts w:ascii="Courier New" w:hAnsi="Courier New" w:eastAsia="Courier New"/>
                <w:color w:val="172033"/>
                <w:sz w:val="16"/>
              </w:rPr>
              <w:t xml:space="preserve">  sms: mock</w:t>
              <w:br/>
            </w:r>
            <w:r>
              <w:rPr>
                <w:rFonts w:ascii="Courier New" w:hAnsi="Courier New" w:eastAsia="Courier New"/>
                <w:color w:val="172033"/>
                <w:sz w:val="16"/>
              </w:rPr>
              <w:t xml:space="preserve">  push: mock</w:t>
              <w:br/>
            </w:r>
            <w:r>
              <w:rPr>
                <w:rFonts w:ascii="Courier New" w:hAnsi="Courier New" w:eastAsia="Courier New"/>
                <w:color w:val="172033"/>
                <w:sz w:val="16"/>
              </w:rPr>
              <w:t xml:space="preserve">  inApp: enabled</w:t>
              <w:br/>
            </w:r>
            <w:r>
              <w:rPr>
                <w:rFonts w:ascii="Courier New" w:hAnsi="Courier New" w:eastAsia="Courier New"/>
                <w:color w:val="172033"/>
                <w:sz w:val="16"/>
              </w:rPr>
              <w:br/>
            </w:r>
            <w:r>
              <w:rPr>
                <w:rFonts w:ascii="Courier New" w:hAnsi="Courier New" w:eastAsia="Courier New"/>
                <w:color w:val="172033"/>
                <w:sz w:val="16"/>
              </w:rPr>
              <w:t>reporting:</w:t>
              <w:br/>
            </w:r>
            <w:r>
              <w:rPr>
                <w:rFonts w:ascii="Courier New" w:hAnsi="Courier New" w:eastAsia="Courier New"/>
                <w:color w:val="172033"/>
                <w:sz w:val="16"/>
              </w:rPr>
              <w:t xml:space="preserve">  enabled: true</w:t>
              <w:br/>
            </w:r>
            <w:r>
              <w:rPr>
                <w:rFonts w:ascii="Courier New" w:hAnsi="Courier New" w:eastAsia="Courier New"/>
                <w:color w:val="172033"/>
                <w:sz w:val="16"/>
              </w:rPr>
              <w:t xml:space="preserve">  exportFormats: [csv, xlsx, pdf]</w:t>
              <w:br/>
            </w:r>
            <w:r>
              <w:rPr>
                <w:rFonts w:ascii="Courier New" w:hAnsi="Courier New" w:eastAsia="Courier New"/>
                <w:color w:val="172033"/>
                <w:sz w:val="16"/>
              </w:rPr>
              <w:br/>
            </w:r>
            <w:r>
              <w:rPr>
                <w:rFonts w:ascii="Courier New" w:hAnsi="Courier New" w:eastAsia="Courier New"/>
                <w:color w:val="172033"/>
                <w:sz w:val="16"/>
              </w:rPr>
              <w:t>storage:</w:t>
              <w:br/>
            </w:r>
            <w:r>
              <w:rPr>
                <w:rFonts w:ascii="Courier New" w:hAnsi="Courier New" w:eastAsia="Courier New"/>
                <w:color w:val="172033"/>
                <w:sz w:val="16"/>
              </w:rPr>
              <w:t xml:space="preserve">  provider: s3_compatible</w:t>
              <w:br/>
            </w:r>
            <w:r>
              <w:rPr>
                <w:rFonts w:ascii="Courier New" w:hAnsi="Courier New" w:eastAsia="Courier New"/>
                <w:color w:val="172033"/>
                <w:sz w:val="16"/>
              </w:rPr>
              <w:t xml:space="preserve">  bucket: visa-ready-files</w:t>
              <w:br/>
            </w:r>
            <w:r>
              <w:rPr>
                <w:rFonts w:ascii="Courier New" w:hAnsi="Courier New" w:eastAsia="Courier New"/>
                <w:color w:val="172033"/>
                <w:sz w:val="16"/>
              </w:rPr>
              <w:t xml:space="preserve">  maxFileSizeMb: 25</w:t>
              <w:br/>
            </w:r>
            <w:r>
              <w:rPr>
                <w:rFonts w:ascii="Courier New" w:hAnsi="Courier New" w:eastAsia="Courier New"/>
                <w:color w:val="172033"/>
                <w:sz w:val="16"/>
              </w:rPr>
              <w:br/>
            </w:r>
            <w:r>
              <w:rPr>
                <w:rFonts w:ascii="Courier New" w:hAnsi="Courier New" w:eastAsia="Courier New"/>
                <w:color w:val="172033"/>
                <w:sz w:val="16"/>
              </w:rPr>
              <w:t>limits:</w:t>
              <w:br/>
            </w:r>
            <w:r>
              <w:rPr>
                <w:rFonts w:ascii="Courier New" w:hAnsi="Courier New" w:eastAsia="Courier New"/>
                <w:color w:val="172033"/>
                <w:sz w:val="16"/>
              </w:rPr>
              <w:t xml:space="preserve">  apiRequestsPerMinutePerTenant: 600</w:t>
              <w:br/>
            </w:r>
            <w:r>
              <w:rPr>
                <w:rFonts w:ascii="Courier New" w:hAnsi="Courier New" w:eastAsia="Courier New"/>
                <w:color w:val="172033"/>
                <w:sz w:val="16"/>
              </w:rPr>
              <w:t xml:space="preserve">  exportRetentionDays: 7</w:t>
              <w:br/>
            </w:r>
            <w:r>
              <w:rPr>
                <w:rFonts w:ascii="Courier New" w:hAnsi="Courier New" w:eastAsia="Courier New"/>
                <w:color w:val="172033"/>
                <w:sz w:val="16"/>
              </w:rPr>
              <w:t xml:space="preserve">  auditRetentionDays: 2555</w:t>
            </w:r>
          </w:p>
        </w:tc>
      </w:tr>
    </w:tbl>
    <w:p>
      <w:pPr>
        <w:pStyle w:val="Heading2"/>
        <w:keepNext/>
      </w:pPr>
      <w:r>
        <w:t>Configuration validation rules</w:t>
      </w:r>
    </w:p>
    <w:p>
      <w:pPr>
        <w:keepNext w:val="0"/>
        <w:keepLines w:val="0"/>
        <w:widowControl/>
        <w:numPr>
          <w:ilvl w:val="0"/>
          <w:numId w:val="10"/>
        </w:numPr>
        <w:spacing w:before="0" w:after="160" w:line="280" w:lineRule="auto"/>
      </w:pPr>
      <w:r>
        <w:rPr>
          <w:rFonts w:ascii="Calibri" w:hAnsi="Calibri" w:eastAsia="Calibri"/>
        </w:rPr>
        <w:t>The schema version and core boilerplate version shall be explicit.</w:t>
      </w:r>
    </w:p>
    <w:p>
      <w:pPr>
        <w:keepNext w:val="0"/>
        <w:keepLines w:val="0"/>
        <w:widowControl/>
        <w:numPr>
          <w:ilvl w:val="0"/>
          <w:numId w:val="10"/>
        </w:numPr>
        <w:spacing w:before="0" w:after="160" w:line="280" w:lineRule="auto"/>
      </w:pPr>
      <w:r>
        <w:rPr>
          <w:rFonts w:ascii="Calibri" w:hAnsi="Calibri" w:eastAsia="Calibri"/>
        </w:rPr>
        <w:t>All role permissions, providers, report IDs and organization levels shall resolve to registered core or project definitions.</w:t>
      </w:r>
    </w:p>
    <w:p>
      <w:pPr>
        <w:keepNext w:val="0"/>
        <w:keepLines w:val="0"/>
        <w:widowControl/>
        <w:numPr>
          <w:ilvl w:val="0"/>
          <w:numId w:val="10"/>
        </w:numPr>
        <w:spacing w:before="0" w:after="160" w:line="280" w:lineRule="auto"/>
      </w:pPr>
      <w:r>
        <w:rPr>
          <w:rFonts w:ascii="Calibri" w:hAnsi="Calibri" w:eastAsia="Calibri"/>
        </w:rPr>
        <w:t>Production mode shall reject mock providers for channels marked mandatory by policy.</w:t>
      </w:r>
    </w:p>
    <w:p>
      <w:pPr>
        <w:keepNext w:val="0"/>
        <w:keepLines w:val="0"/>
        <w:widowControl/>
        <w:numPr>
          <w:ilvl w:val="0"/>
          <w:numId w:val="10"/>
        </w:numPr>
        <w:spacing w:before="0" w:after="160" w:line="280" w:lineRule="auto"/>
      </w:pPr>
      <w:r>
        <w:rPr>
          <w:rFonts w:ascii="Calibri" w:hAnsi="Calibri" w:eastAsia="Calibri"/>
        </w:rPr>
        <w:t>Production payment mode shall require a live secret reference and an explicit deployment-level allow flag.</w:t>
      </w:r>
    </w:p>
    <w:p>
      <w:pPr>
        <w:keepNext w:val="0"/>
        <w:keepLines w:val="0"/>
        <w:widowControl/>
        <w:numPr>
          <w:ilvl w:val="0"/>
          <w:numId w:val="10"/>
        </w:numPr>
        <w:spacing w:before="0" w:after="160" w:line="280" w:lineRule="auto"/>
      </w:pPr>
      <w:r>
        <w:rPr>
          <w:rFonts w:ascii="Calibri" w:hAnsi="Calibri" w:eastAsia="Calibri"/>
        </w:rPr>
        <w:t>Invalid or unsupported combinations shall fail before migrations or startup, with an actionable error report.</w:t>
      </w:r>
    </w:p>
    <w:p>
      <w:pPr>
        <w:keepNext w:val="0"/>
        <w:keepLines w:val="0"/>
        <w:widowControl/>
        <w:numPr>
          <w:ilvl w:val="0"/>
          <w:numId w:val="10"/>
        </w:numPr>
        <w:spacing w:before="0" w:after="160" w:line="280" w:lineRule="auto"/>
      </w:pPr>
      <w:r>
        <w:rPr>
          <w:rFonts w:ascii="Calibri" w:hAnsi="Calibri" w:eastAsia="Calibri"/>
        </w:rPr>
        <w:t>Regeneration shall preserve project modules and manually authored extensions.</w:t>
      </w:r>
    </w:p>
    <w:p>
      <w:r>
        <w:br w:type="page"/>
      </w:r>
    </w:p>
    <w:p>
      <w:pPr>
        <w:pStyle w:val="Heading1"/>
        <w:keepNext/>
      </w:pPr>
      <w:r>
        <w:t>Appendix B. Suggested NestJS module map</w:t>
      </w:r>
    </w:p>
    <w:tbl>
      <w:tblPr>
        <w:tblStyle w:val="TableGrid"/>
        <w:tblW w:type="dxa" w:w="9360"/>
        <w:jc w:val="left"/>
        <w:tblLayout w:type="fixed"/>
        <w:tblLook w:firstColumn="1" w:firstRow="1" w:lastColumn="0" w:lastRow="0" w:noHBand="0" w:noVBand="1" w:val="04A0"/>
        <w:tblInd w:type="dxa" w:w="120"/>
      </w:tblPr>
      <w:tblGrid>
        <w:gridCol w:w="2800"/>
        <w:gridCol w:w="6560"/>
      </w:tblGrid>
      <w:tr>
        <w:trPr>
          <w:tblHeader w:val="true"/>
        </w:trPr>
        <w:tc>
          <w:tcPr>
            <w:tcW w:type="dxa" w:w="2800"/>
            <w:shd w:fill="0B2545"/>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40" w:lineRule="auto"/>
            </w:pPr>
            <w:r>
              <w:rPr>
                <w:rFonts w:ascii="Calibri" w:hAnsi="Calibri" w:eastAsia="Calibri"/>
                <w:b/>
                <w:color w:val="FFFFFF"/>
                <w:sz w:val="18"/>
              </w:rPr>
              <w:t>NestJS module</w:t>
            </w:r>
          </w:p>
        </w:tc>
        <w:tc>
          <w:tcPr>
            <w:tcW w:type="dxa" w:w="6560"/>
            <w:shd w:fill="0B2545"/>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40" w:lineRule="auto"/>
            </w:pPr>
            <w:r>
              <w:rPr>
                <w:rFonts w:ascii="Calibri" w:hAnsi="Calibri" w:eastAsia="Calibri"/>
                <w:b/>
                <w:color w:val="FFFFFF"/>
                <w:sz w:val="18"/>
              </w:rPr>
              <w:t>Responsibility</w:t>
            </w:r>
          </w:p>
        </w:tc>
      </w:tr>
      <w:tr>
        <w:trPr/>
        <w:tc>
          <w:tcPr>
            <w:tcW w:type="dxa" w:w="28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7"/>
              </w:rPr>
              <w:t>CoreModule</w:t>
            </w:r>
          </w:p>
        </w:tc>
        <w:tc>
          <w:tcPr>
            <w:tcW w:type="dxa" w:w="656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7"/>
              </w:rPr>
              <w:t>Configuration, request context, errors, logging, idempotency and outbox</w:t>
            </w:r>
          </w:p>
        </w:tc>
      </w:tr>
      <w:tr>
        <w:trPr/>
        <w:tc>
          <w:tcPr>
            <w:tcW w:type="dxa" w:w="28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7"/>
              </w:rPr>
              <w:t>AuthModule</w:t>
            </w:r>
          </w:p>
        </w:tc>
        <w:tc>
          <w:tcPr>
            <w:tcW w:type="dxa" w:w="656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7"/>
              </w:rPr>
              <w:t>Accounts, credentials, MFA, tokens, sessions and OIDC adapters</w:t>
            </w:r>
          </w:p>
        </w:tc>
      </w:tr>
      <w:tr>
        <w:trPr/>
        <w:tc>
          <w:tcPr>
            <w:tcW w:type="dxa" w:w="28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7"/>
              </w:rPr>
              <w:t>TenancyModule</w:t>
            </w:r>
          </w:p>
        </w:tc>
        <w:tc>
          <w:tcPr>
            <w:tcW w:type="dxa" w:w="656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7"/>
              </w:rPr>
              <w:t>Tenants, organization hierarchy and TenantContext</w:t>
            </w:r>
          </w:p>
        </w:tc>
      </w:tr>
      <w:tr>
        <w:trPr/>
        <w:tc>
          <w:tcPr>
            <w:tcW w:type="dxa" w:w="28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7"/>
              </w:rPr>
              <w:t>UsersModule</w:t>
            </w:r>
          </w:p>
        </w:tc>
        <w:tc>
          <w:tcPr>
            <w:tcW w:type="dxa" w:w="656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7"/>
              </w:rPr>
              <w:t>Users, invitations, memberships and teams</w:t>
            </w:r>
          </w:p>
        </w:tc>
      </w:tr>
      <w:tr>
        <w:trPr/>
        <w:tc>
          <w:tcPr>
            <w:tcW w:type="dxa" w:w="28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7"/>
              </w:rPr>
              <w:t>AuthorizationModule</w:t>
            </w:r>
          </w:p>
        </w:tc>
        <w:tc>
          <w:tcPr>
            <w:tcW w:type="dxa" w:w="656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7"/>
              </w:rPr>
              <w:t>Permissions, roles, guards and ownership policies</w:t>
            </w:r>
          </w:p>
        </w:tc>
      </w:tr>
      <w:tr>
        <w:trPr/>
        <w:tc>
          <w:tcPr>
            <w:tcW w:type="dxa" w:w="28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7"/>
              </w:rPr>
              <w:t>AdminModule</w:t>
            </w:r>
          </w:p>
        </w:tc>
        <w:tc>
          <w:tcPr>
            <w:tcW w:type="dxa" w:w="656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7"/>
              </w:rPr>
              <w:t>Platform and tenant administration orchestration</w:t>
            </w:r>
          </w:p>
        </w:tc>
      </w:tr>
      <w:tr>
        <w:trPr/>
        <w:tc>
          <w:tcPr>
            <w:tcW w:type="dxa" w:w="28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7"/>
              </w:rPr>
              <w:t>CrudFoundationModule</w:t>
            </w:r>
          </w:p>
        </w:tc>
        <w:tc>
          <w:tcPr>
            <w:tcW w:type="dxa" w:w="656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7"/>
              </w:rPr>
              <w:t>Base repositories/services, filtering, imports and exports</w:t>
            </w:r>
          </w:p>
        </w:tc>
      </w:tr>
      <w:tr>
        <w:trPr/>
        <w:tc>
          <w:tcPr>
            <w:tcW w:type="dxa" w:w="28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7"/>
              </w:rPr>
              <w:t>FilesModule</w:t>
            </w:r>
          </w:p>
        </w:tc>
        <w:tc>
          <w:tcPr>
            <w:tcW w:type="dxa" w:w="656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7"/>
              </w:rPr>
              <w:t>Metadata, object storage, access, scanning and retention</w:t>
            </w:r>
          </w:p>
        </w:tc>
      </w:tr>
      <w:tr>
        <w:trPr/>
        <w:tc>
          <w:tcPr>
            <w:tcW w:type="dxa" w:w="28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7"/>
              </w:rPr>
              <w:t>BillingModule</w:t>
            </w:r>
          </w:p>
        </w:tc>
        <w:tc>
          <w:tcPr>
            <w:tcW w:type="dxa" w:w="656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7"/>
              </w:rPr>
              <w:t>Plans, subscriptions, usage, entitlements, credits and invoices</w:t>
            </w:r>
          </w:p>
        </w:tc>
      </w:tr>
      <w:tr>
        <w:trPr/>
        <w:tc>
          <w:tcPr>
            <w:tcW w:type="dxa" w:w="28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7"/>
              </w:rPr>
              <w:t>PaymentsModule</w:t>
            </w:r>
          </w:p>
        </w:tc>
        <w:tc>
          <w:tcPr>
            <w:tcW w:type="dxa" w:w="656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7"/>
              </w:rPr>
              <w:t>PaymentProvider interface, Razorpay adapter, refunds and reconciliation</w:t>
            </w:r>
          </w:p>
        </w:tc>
      </w:tr>
      <w:tr>
        <w:trPr/>
        <w:tc>
          <w:tcPr>
            <w:tcW w:type="dxa" w:w="28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7"/>
              </w:rPr>
              <w:t>ReportingModule</w:t>
            </w:r>
          </w:p>
        </w:tc>
        <w:tc>
          <w:tcPr>
            <w:tcW w:type="dxa" w:w="656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7"/>
              </w:rPr>
              <w:t>Definitions, dashboards, export runs and schedules</w:t>
            </w:r>
          </w:p>
        </w:tc>
      </w:tr>
      <w:tr>
        <w:trPr/>
        <w:tc>
          <w:tcPr>
            <w:tcW w:type="dxa" w:w="28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7"/>
              </w:rPr>
              <w:t>CommunicationModule</w:t>
            </w:r>
          </w:p>
        </w:tc>
        <w:tc>
          <w:tcPr>
            <w:tcW w:type="dxa" w:w="656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7"/>
              </w:rPr>
              <w:t>Templates, preferences, in-app, email, SMS and push</w:t>
            </w:r>
          </w:p>
        </w:tc>
      </w:tr>
      <w:tr>
        <w:trPr/>
        <w:tc>
          <w:tcPr>
            <w:tcW w:type="dxa" w:w="28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7"/>
              </w:rPr>
              <w:t>AuditModule</w:t>
            </w:r>
          </w:p>
        </w:tc>
        <w:tc>
          <w:tcPr>
            <w:tcW w:type="dxa" w:w="656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7"/>
              </w:rPr>
              <w:t>Append-only audit, activity timelines and archive/export</w:t>
            </w:r>
          </w:p>
        </w:tc>
      </w:tr>
      <w:tr>
        <w:trPr/>
        <w:tc>
          <w:tcPr>
            <w:tcW w:type="dxa" w:w="28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7"/>
              </w:rPr>
              <w:t>SettingsModule</w:t>
            </w:r>
          </w:p>
        </w:tc>
        <w:tc>
          <w:tcPr>
            <w:tcW w:type="dxa" w:w="656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7"/>
              </w:rPr>
              <w:t>Typed settings, flags and secret references</w:t>
            </w:r>
          </w:p>
        </w:tc>
      </w:tr>
      <w:tr>
        <w:trPr/>
        <w:tc>
          <w:tcPr>
            <w:tcW w:type="dxa" w:w="28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7"/>
              </w:rPr>
              <w:t>IntegrationsModule</w:t>
            </w:r>
          </w:p>
        </w:tc>
        <w:tc>
          <w:tcPr>
            <w:tcW w:type="dxa" w:w="656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7"/>
              </w:rPr>
              <w:t>Provider registry, connection tests, inbound/outbound webhooks</w:t>
            </w:r>
          </w:p>
        </w:tc>
      </w:tr>
      <w:tr>
        <w:trPr/>
        <w:tc>
          <w:tcPr>
            <w:tcW w:type="dxa" w:w="280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7"/>
              </w:rPr>
              <w:t>JobsModule</w:t>
            </w:r>
          </w:p>
        </w:tc>
        <w:tc>
          <w:tcPr>
            <w:tcW w:type="dxa" w:w="6560"/>
            <w:tcBorders>
              <w:top w:val="single" w:sz="6" w:color="CAD6E2"/>
              <w:left w:val="single" w:sz="6" w:color="CAD6E2"/>
              <w:bottom w:val="single" w:sz="6" w:color="CAD6E2"/>
              <w:right w:val="single" w:sz="6" w:color="CAD6E2"/>
              <w:insideH w:val="single" w:sz="6" w:color="CAD6E2"/>
              <w:insideV w:val="single" w:sz="6" w:color="CAD6E2"/>
            </w:tcBorders>
            <w:shd w:fill="F4F8FB"/>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7"/>
              </w:rPr>
              <w:t>BullMQ queues, workers, schedules, retry and dead-letter controls</w:t>
            </w:r>
          </w:p>
        </w:tc>
      </w:tr>
      <w:tr>
        <w:trPr/>
        <w:tc>
          <w:tcPr>
            <w:tcW w:type="dxa" w:w="280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sz w:val="17"/>
              </w:rPr>
              <w:t>ObservabilityModule</w:t>
            </w:r>
          </w:p>
        </w:tc>
        <w:tc>
          <w:tcPr>
            <w:tcW w:type="dxa" w:w="6560"/>
            <w:tcBorders>
              <w:top w:val="single" w:sz="6" w:color="CAD6E2"/>
              <w:left w:val="single" w:sz="6" w:color="CAD6E2"/>
              <w:bottom w:val="single" w:sz="6" w:color="CAD6E2"/>
              <w:right w:val="single" w:sz="6" w:color="CAD6E2"/>
              <w:insideH w:val="single" w:sz="6" w:color="CAD6E2"/>
              <w:insideV w:val="single" w:sz="6" w:color="CAD6E2"/>
            </w:tcBorders>
            <w:vAlign w:val="center"/>
            <w:tcMar>
              <w:top w:w="100" w:type="dxa"/>
              <w:bottom w:w="100" w:type="dxa"/>
              <w:start w:w="120" w:type="dxa"/>
              <w:end w:w="120" w:type="dxa"/>
            </w:tcMar>
          </w:tcPr>
          <w:p>
            <w:pPr>
              <w:keepNext w:val="0"/>
              <w:keepLines w:val="0"/>
              <w:widowControl/>
              <w:spacing w:before="20" w:after="20" w:line="259" w:lineRule="auto"/>
            </w:pPr>
            <w:r>
              <w:rPr>
                <w:rFonts w:ascii="Calibri" w:hAnsi="Calibri" w:eastAsia="Calibri"/>
                <w:b w:val="0"/>
                <w:sz w:val="17"/>
              </w:rPr>
              <w:t>Health, metrics, traces and operational diagnostics</w:t>
            </w:r>
          </w:p>
        </w:tc>
      </w:tr>
    </w:tbl>
    <w:p>
      <w:pPr>
        <w:keepNext w:val="0"/>
        <w:keepLines w:val="0"/>
        <w:widowControl/>
        <w:spacing w:before="0" w:after="40" w:line="264" w:lineRule="auto"/>
        <w:jc w:val="left"/>
      </w:pPr>
      <w:r>
        <w:rPr>
          <w:rFonts w:ascii="Calibri" w:hAnsi="Calibri" w:eastAsia="Calibri"/>
          <w:b w:val="0"/>
          <w:i w:val="0"/>
          <w:color w:val="172033"/>
          <w:sz w:val="22"/>
        </w:rPr>
      </w:r>
    </w:p>
    <w:p>
      <w:pPr>
        <w:keepNext w:val="0"/>
        <w:keepLines w:val="0"/>
        <w:widowControl/>
        <w:spacing w:before="360" w:after="0" w:line="264" w:lineRule="auto"/>
        <w:jc w:val="center"/>
      </w:pPr>
      <w:r>
        <w:rPr>
          <w:rFonts w:ascii="Calibri" w:hAnsi="Calibri" w:eastAsia="Calibri"/>
          <w:b w:val="0"/>
          <w:i/>
          <w:color w:val="667085"/>
          <w:sz w:val="18"/>
        </w:rPr>
        <w:t>End of specification</w:t>
      </w:r>
    </w:p>
    <w:sectPr w:rsidR="00FC693F" w:rsidRPr="0006063C" w:rsidSect="00034616">
      <w:headerReference w:type="default" r:id="rId9"/>
      <w:footerReference w:type="default" r:id="rId10"/>
      <w:pgSz w:w="12240" w:h="15840"/>
      <w:pgMar w:top="1440" w:right="1440" w:bottom="1656"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eastAsia="Calibri"/>
        <w:color w:val="667085"/>
        <w:sz w:val="18"/>
      </w:rPr>
      <w:fldChar w:fldCharType="begin"/>
      <w:instrText xml:space="preserve">PAGE</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dxa" w:w="9360"/>
      <w:jc w:val="left"/>
      <w:tblLayout w:type="fixed"/>
      <w:tblLook w:firstColumn="1" w:firstRow="1" w:lastColumn="0" w:lastRow="0" w:noHBand="0" w:noVBand="1" w:val="04A0"/>
      <w:tblInd w:type="dxa" w:w="120"/>
    </w:tblPr>
    <w:tblGrid>
      <w:gridCol w:w="5400"/>
      <w:gridCol w:w="3960"/>
    </w:tblGrid>
    <w:tr>
      <w:trPr/>
      <w:tc>
        <w:tcPr>
          <w:tcW w:type="dxa" w:w="5400"/>
          <w:tcMar>
            <w:top w:w="0" w:type="dxa"/>
            <w:bottom w:w="0" w:type="dxa"/>
            <w:start w:w="0" w:type="dxa"/>
            <w:end w:w="0" w:type="dxa"/>
          </w:tcMar>
          <w:tcBorders>
            <w:bottom w:val="single" w:sz="6" w:color="00A6C8"/>
          </w:tcBorders>
        </w:tcPr>
        <w:p>
          <w:pPr>
            <w:keepNext w:val="0"/>
            <w:keepLines w:val="0"/>
            <w:widowControl/>
            <w:spacing w:before="0" w:after="40" w:line="240" w:lineRule="auto"/>
          </w:pPr>
          <w:r>
            <w:rPr>
              <w:rFonts w:ascii="Calibri" w:hAnsi="Calibri" w:eastAsia="Calibri"/>
              <w:b/>
              <w:color w:val="667085"/>
              <w:sz w:val="17"/>
            </w:rPr>
            <w:t>SAAS CORE BACKEND REQUIREMENTS</w:t>
          </w:r>
        </w:p>
      </w:tc>
      <w:tc>
        <w:tcPr>
          <w:tcW w:type="dxa" w:w="3960"/>
          <w:tcMar>
            <w:top w:w="0" w:type="dxa"/>
            <w:bottom w:w="0" w:type="dxa"/>
            <w:start w:w="0" w:type="dxa"/>
            <w:end w:w="0" w:type="dxa"/>
          </w:tcMar>
          <w:tcBorders>
            <w:bottom w:val="single" w:sz="6" w:color="00A6C8"/>
          </w:tcBorders>
        </w:tcPr>
        <w:p>
          <w:pPr>
            <w:keepNext w:val="0"/>
            <w:keepLines w:val="0"/>
            <w:widowControl/>
            <w:spacing w:before="0" w:after="40" w:line="240" w:lineRule="auto"/>
            <w:jc w:val="right"/>
          </w:pPr>
          <w:r>
            <w:rPr>
              <w:rFonts w:ascii="Calibri" w:hAnsi="Calibri" w:eastAsia="Calibri"/>
              <w:color w:val="667085"/>
              <w:sz w:val="17"/>
            </w:rPr>
            <w:t>NestJS + MongoDB</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bullet"/>
      <w:lvlText w:val="•"/>
      <w:suff w:val="tab"/>
      <w:pPr>
        <w:tabs>
          <w:tab w:val="num" w:pos="720"/>
        </w:tabs>
        <w:ind w:left="720" w:hanging="360"/>
        <w:spacing w:after="160" w:line="280" w:lineRule="auto"/>
      </w:pPr>
      <w:rPr>
        <w:rFonts w:ascii="Arial" w:hAnsi="Arial"/>
      </w:rPr>
    </w:lvl>
  </w:abstractNum>
  <w:num w:numId="10">
    <w:abstractNumId w:val="9"/>
  </w:num>
  <w:abstractNum w:abstractNumId="10">
    <w:multiLevelType w:val="singleLevel"/>
    <w:lvl w:ilvl="0">
      <w:start w:val="1"/>
      <w:numFmt w:val="decimal"/>
      <w:lvlText w:val="%1."/>
      <w:suff w:val="tab"/>
      <w:pPr>
        <w:tabs>
          <w:tab w:val="num" w:pos="720"/>
        </w:tabs>
        <w:ind w:left="720" w:hanging="360"/>
        <w:spacing w:after="160" w:line="280" w:lineRule="auto"/>
      </w:pPr>
      <w:rPr>
        <w:rFonts w:ascii="Calibri" w:hAnsi="Calibri"/>
      </w:rPr>
    </w:lvl>
  </w:abstract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64" w:lineRule="auto"/>
    </w:pPr>
    <w:rPr>
      <w:rFonts w:ascii="Calibri" w:hAnsi="Calibri"/>
      <w:color w:val="1720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line="240" w:lineRule="auto"/>
      <w:outlineLvl w:val="0"/>
    </w:pPr>
    <w:rPr>
      <w:rFonts w:asciiTheme="majorHAnsi" w:eastAsiaTheme="majorEastAsia" w:hAnsiTheme="majorHAnsi" w:cstheme="majorBidi" w:ascii="Calibri" w:hAnsi="Calibri"/>
      <w:b/>
      <w:bCs/>
      <w:color w:val="0B2545"/>
      <w:sz w:val="32"/>
      <w:szCs w:val="28"/>
    </w:rPr>
  </w:style>
  <w:style w:type="paragraph" w:styleId="Heading2">
    <w:name w:val="heading 2"/>
    <w:basedOn w:val="Normal"/>
    <w:next w:val="Normal"/>
    <w:link w:val="Heading2Char"/>
    <w:uiPriority w:val="9"/>
    <w:unhideWhenUsed/>
    <w:qFormat/>
    <w:rsid w:val="00FC693F"/>
    <w:pPr>
      <w:keepNext/>
      <w:keepLines/>
      <w:spacing w:before="240" w:after="120" w:line="240" w:lineRule="auto"/>
      <w:outlineLvl w:val="1"/>
    </w:pPr>
    <w:rPr>
      <w:rFonts w:asciiTheme="majorHAnsi" w:eastAsiaTheme="majorEastAsia" w:hAnsiTheme="majorHAnsi" w:cstheme="majorBidi" w:ascii="Calibri" w:hAnsi="Calibri"/>
      <w:b/>
      <w:bCs/>
      <w:color w:val="245986"/>
      <w:sz w:val="26"/>
      <w:szCs w:val="26"/>
    </w:rPr>
  </w:style>
  <w:style w:type="paragraph" w:styleId="Heading3">
    <w:name w:val="heading 3"/>
    <w:basedOn w:val="Normal"/>
    <w:next w:val="Normal"/>
    <w:link w:val="Heading3Char"/>
    <w:uiPriority w:val="9"/>
    <w:unhideWhenUsed/>
    <w:qFormat/>
    <w:rsid w:val="00FC693F"/>
    <w:pPr>
      <w:keepNext/>
      <w:keepLines/>
      <w:spacing w:before="160" w:after="80" w:line="240" w:lineRule="auto"/>
      <w:outlineLvl w:val="2"/>
    </w:pPr>
    <w:rPr>
      <w:rFonts w:asciiTheme="majorHAnsi" w:eastAsiaTheme="majorEastAsia" w:hAnsiTheme="majorHAnsi" w:cstheme="majorBidi" w:ascii="Calibri" w:hAnsi="Calibri"/>
      <w:b/>
      <w:bCs/>
      <w:color w:val="0B2545"/>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Reusable SaaS Core - Backend Requirements (NestJS + MongoDB)</dc:title>
  <dc:subject>Implementation requirements for an always-included SaaS backend boilerplate</dc:subject>
  <dc:creator>Product Engineering</dc:creator>
  <cp:keywords>SaaS, NestJS, MongoDB, boilerplate, backend, Razorpay, billing, RBAC</cp:keywords>
  <dc:description>generated by python-docx</dc:description>
  <cp:lastModifiedBy/>
  <cp:revision>1</cp:revision>
  <dcterms:created xsi:type="dcterms:W3CDTF">2013-12-23T23:15:00Z</dcterms:created>
  <dcterms:modified xsi:type="dcterms:W3CDTF">2013-12-23T23:15:00Z</dcterms:modified>
  <cp:category/>
</cp:coreProperties>
</file>