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pPr>
      <w:r>
        <w:rPr>
          <w:rFonts w:ascii="Calibri" w:hAnsi="Calibri"/>
          <w:b/>
          <w:color w:val="1F4E79"/>
          <w:sz w:val="20"/>
        </w:rPr>
        <w:t>CHANGE REQUEST</w:t>
      </w:r>
    </w:p>
    <w:p>
      <w:pPr>
        <w:spacing w:after="100"/>
      </w:pPr>
      <w:r>
        <w:rPr>
          <w:rFonts w:ascii="Calibri" w:hAnsi="Calibri"/>
          <w:b/>
          <w:color w:val="000000"/>
          <w:sz w:val="48"/>
        </w:rPr>
        <w:t>Runpod MiniMax H3 Director Benchmark</w:t>
      </w:r>
    </w:p>
    <w:p>
      <w:pPr>
        <w:spacing w:after="280"/>
      </w:pPr>
      <w:r>
        <w:rPr>
          <w:rFonts w:ascii="Calibri" w:hAnsi="Calibri"/>
          <w:i/>
          <w:color w:val="555555"/>
          <w:sz w:val="26"/>
        </w:rPr>
        <w:t>Optional self-hosted generation adapter for Requirements Document 2</w:t>
      </w:r>
    </w:p>
    <w:tbl>
      <w:tblPr>
        <w:tblStyle w:val="TableGrid"/>
        <w:tblW w:type="dxa" w:w="9360"/>
        <w:jc w:val="left"/>
        <w:tblLayout w:type="fixed"/>
        <w:tblLook w:firstColumn="1" w:firstRow="1" w:lastColumn="0" w:lastRow="0" w:noHBand="0" w:noVBand="1" w:val="04A0"/>
        <w:tblInd w:w="120" w:type="dxa"/>
      </w:tblPr>
      <w:tblGrid>
        <w:gridCol w:w="1900"/>
        <w:gridCol w:w="7460"/>
      </w:tblGrid>
      <w:tr>
        <w:trPr>
          <w:tblHeader w:val="true"/>
        </w:trPr>
        <w:tc>
          <w:tcPr>
            <w:tcW w:type="dxa" w:w="1900"/>
            <w:shd w:fill="F2F4F7"/>
            <w:vAlign w:val="center"/>
            <w:tcMar>
              <w:top w:w="80" w:type="dxa"/>
              <w:start w:w="120" w:type="dxa"/>
              <w:bottom w:w="80" w:type="dxa"/>
              <w:end w:w="120" w:type="dxa"/>
            </w:tcMar>
          </w:tcPr>
          <w:p>
            <w:pPr>
              <w:spacing w:after="0"/>
            </w:pPr>
            <w:r>
              <w:rPr>
                <w:rFonts w:ascii="Calibri" w:hAnsi="Calibri"/>
                <w:b/>
                <w:color w:val="163A5A"/>
                <w:sz w:val="18"/>
              </w:rPr>
              <w:t>Field</w:t>
            </w:r>
          </w:p>
        </w:tc>
        <w:tc>
          <w:tcPr>
            <w:tcW w:type="dxa" w:w="7460"/>
            <w:shd w:fill="F2F4F7"/>
            <w:vAlign w:val="center"/>
            <w:tcMar>
              <w:top w:w="80" w:type="dxa"/>
              <w:start w:w="120" w:type="dxa"/>
              <w:bottom w:w="80" w:type="dxa"/>
              <w:end w:w="120" w:type="dxa"/>
            </w:tcMar>
          </w:tcPr>
          <w:p>
            <w:pPr>
              <w:spacing w:after="0"/>
            </w:pPr>
            <w:r>
              <w:rPr>
                <w:rFonts w:ascii="Calibri" w:hAnsi="Calibri"/>
                <w:b/>
                <w:color w:val="163A5A"/>
                <w:sz w:val="18"/>
              </w:rPr>
              <w:t>Value</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CR identifier</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CR-REQ2-001</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Related baseline</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Requirements Document 2 - Audio-Driven Batch Video Production</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Version</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1.0</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Date</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29 August 2026</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Status</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Proposed - approval required before implementation</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Change type</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Time-boxed technical benchmark; no production cutover</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Repository under test</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muse-collective-26/MiniMaxH3-Director-V1.2</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Primary audience</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Product, engineering, AI/media operations, QA and technical approvers</w:t>
            </w:r>
          </w:p>
        </w:tc>
      </w:tr>
    </w:tbl>
    <w:p>
      <w:pPr>
        <w:spacing w:after="0"/>
      </w:pPr>
    </w:p>
    <w:tbl>
      <w:tblPr>
        <w:tblStyle w:val="TableGrid"/>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start w:w="120" w:type="dxa"/>
              <w:bottom w:w="80" w:type="dxa"/>
              <w:end w:w="120" w:type="dxa"/>
            </w:tcMar>
            <w:shd w:fill="E8EEF5"/>
          </w:tcPr>
          <w:p>
            <w:pPr>
              <w:spacing w:after="0"/>
            </w:pPr>
            <w:r>
              <w:rPr>
                <w:rFonts w:ascii="Calibri" w:hAnsi="Calibri"/>
                <w:b/>
                <w:color w:val="163A5A"/>
              </w:rPr>
              <w:t xml:space="preserve">Requested decision: </w:t>
            </w:r>
            <w:r>
              <w:rPr>
                <w:rFonts w:ascii="Calibri" w:hAnsi="Calibri"/>
              </w:rPr>
              <w:t>Approve a controlled Runpod-side benchmark of MiniMaxH3 Director V1.2 as a replaceable H3DirectorAdapter. The existing FAL route remains the production default unless the benchmark meets the acceptance thresholds in this CR.</w:t>
            </w:r>
          </w:p>
        </w:tc>
      </w:tr>
    </w:tbl>
    <w:p>
      <w:pPr>
        <w:spacing w:after="0"/>
      </w:pPr>
    </w:p>
    <w:p>
      <w:pPr>
        <w:pStyle w:val="Heading1"/>
      </w:pPr>
      <w:r>
        <w:t>1. Change summary</w:t>
      </w:r>
    </w:p>
    <w:p>
      <w:r>
        <w:t>Requirements Document 2 currently uses provider-neutral media generation, with FAL as the default hosted execution route. This CR adds an experimental self-hosted Runpod route for MiniMax H3 generation so the team can test whether H3 Director's prompt compilation, candidate scouting and multi-shot continuity improve quality or reduce total approved-output cost.</w:t>
      </w:r>
    </w:p>
    <w:p>
      <w:r>
        <w:t>The change is deliberately isolated. It does not replace the audio analysis, God Profile Registry, shot planner, critic, repair controller, batch dashboard or final assembly. It adds one adapter, one benchmark mode and one comparison report.</w:t>
      </w:r>
    </w:p>
    <w:p>
      <w:pPr>
        <w:pStyle w:val="Heading2"/>
      </w:pPr>
      <w:r>
        <w:t>1.1 Business rationale</w:t>
      </w:r>
    </w:p>
    <w:p>
      <w:pPr>
        <w:pStyle w:val="ListBullet"/>
        <w:spacing w:after="80" w:line="264" w:lineRule="auto"/>
      </w:pPr>
      <w:r>
        <w:rPr>
          <w:rFonts w:ascii="Calibri" w:hAnsi="Calibri"/>
        </w:rPr>
        <w:t>The 70-clip production includes hundreds of generated shots; small improvements in accepted-shot rate can materially reduce retries.</w:t>
      </w:r>
    </w:p>
    <w:p>
      <w:pPr>
        <w:pStyle w:val="ListBullet"/>
        <w:spacing w:after="80" w:line="264" w:lineRule="auto"/>
      </w:pPr>
      <w:r>
        <w:rPr>
          <w:rFonts w:ascii="Calibri" w:hAnsi="Calibri"/>
        </w:rPr>
        <w:t>Self-hosted GPU execution may lower generation cost when utilization is controlled, but only if idle time, failures and engineering support are included.</w:t>
      </w:r>
    </w:p>
    <w:p>
      <w:pPr>
        <w:pStyle w:val="ListBullet"/>
        <w:spacing w:after="80" w:line="264" w:lineRule="auto"/>
      </w:pPr>
      <w:r>
        <w:rPr>
          <w:rFonts w:ascii="Calibri" w:hAnsi="Calibri"/>
        </w:rPr>
        <w:t>H3 Director exposes controls not normally available through a hosted endpoint, including structured H3 prompt compilation, seed scouting, staged refinement and frame-based chunk continuity.</w:t>
      </w:r>
    </w:p>
    <w:p>
      <w:pPr>
        <w:pStyle w:val="ListBullet"/>
        <w:spacing w:after="80" w:line="264" w:lineRule="auto"/>
      </w:pPr>
      <w:r>
        <w:rPr>
          <w:rFonts w:ascii="Calibri" w:hAnsi="Calibri"/>
        </w:rPr>
        <w:t>A benchmark is cheaper and safer than changing the production architecture based on repository features alone.</w:t>
      </w:r>
    </w:p>
    <w:p>
      <w:pPr>
        <w:pStyle w:val="Heading2"/>
      </w:pPr>
      <w:r>
        <w:t>1.2 Change impact</w:t>
      </w:r>
    </w:p>
    <w:tbl>
      <w:tblPr>
        <w:tblStyle w:val="TableGrid"/>
        <w:tblW w:type="dxa" w:w="9360"/>
        <w:jc w:val="left"/>
        <w:tblLayout w:type="fixed"/>
        <w:tblLook w:firstColumn="1" w:firstRow="1" w:lastColumn="0" w:lastRow="0" w:noHBand="0" w:noVBand="1" w:val="04A0"/>
        <w:tblInd w:w="120" w:type="dxa"/>
      </w:tblPr>
      <w:tblGrid>
        <w:gridCol w:w="2200"/>
        <w:gridCol w:w="71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8"/>
              </w:rPr>
              <w:t>Area</w:t>
            </w:r>
          </w:p>
        </w:tc>
        <w:tc>
          <w:tcPr>
            <w:tcW w:type="dxa" w:w="7160"/>
            <w:shd w:fill="F2F4F7"/>
            <w:vAlign w:val="center"/>
            <w:tcMar>
              <w:top w:w="80" w:type="dxa"/>
              <w:start w:w="120" w:type="dxa"/>
              <w:bottom w:w="80" w:type="dxa"/>
              <w:end w:w="120" w:type="dxa"/>
            </w:tcMar>
          </w:tcPr>
          <w:p>
            <w:pPr>
              <w:spacing w:after="0"/>
            </w:pPr>
            <w:r>
              <w:rPr>
                <w:rFonts w:ascii="Calibri" w:hAnsi="Calibri"/>
                <w:b/>
                <w:color w:val="163A5A"/>
                <w:sz w:val="18"/>
              </w:rPr>
              <w:t>Impact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Product workflow</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No client-facing change. Benchmark controls are visible only to authorized internal users.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Production routing</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No automatic cutover. FAL remains default until a separate adoption approval.</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Infrastructure</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One Runpod benchmark environment, persistent model volume and job worker.</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Backend</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New H3DirectorAdapter, job-state mapping, cost capture and benchmark comparison records.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Media assembly</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No design change; generated audio is discarded and the original client audio is attached.</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Data model</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Additional provider-run, environment, seed, commit, resource and evaluation fields.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Operations</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Benchmark pod lifecycle, health checks, logs, storage cleanup and spend cap.</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Security/legal</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Secrets remain server-side; model-weight licence must be approved for the intended territory and use.</w:t>
            </w:r>
          </w:p>
        </w:tc>
      </w:tr>
    </w:tbl>
    <w:p>
      <w:pPr>
        <w:spacing w:after="0"/>
      </w:pPr>
    </w:p>
    <w:p>
      <w:pPr>
        <w:pStyle w:val="Heading1"/>
      </w:pPr>
      <w:r>
        <w:t>2. Objectives and non-goals</w:t>
      </w:r>
    </w:p>
    <w:p>
      <w:pPr>
        <w:pStyle w:val="Heading2"/>
      </w:pPr>
      <w:r>
        <w:t>2.1 Objectives</w:t>
      </w:r>
    </w:p>
    <w:p>
      <w:pPr>
        <w:pStyle w:val="ListBullet"/>
        <w:spacing w:after="80" w:line="264" w:lineRule="auto"/>
      </w:pPr>
      <w:r>
        <w:rPr>
          <w:rFonts w:ascii="Calibri" w:hAnsi="Calibri"/>
        </w:rPr>
        <w:t>Prove that the repository can run reliably in the existing Runpod H3 environment.</w:t>
      </w:r>
    </w:p>
    <w:p>
      <w:pPr>
        <w:pStyle w:val="ListBullet"/>
        <w:spacing w:after="80" w:line="264" w:lineRule="auto"/>
      </w:pPr>
      <w:r>
        <w:rPr>
          <w:rFonts w:ascii="Calibri" w:hAnsi="Calibri"/>
        </w:rPr>
        <w:t>Compare FAL H3 and two Runpod H3 Director modes using identical creative inputs.</w:t>
      </w:r>
    </w:p>
    <w:p>
      <w:pPr>
        <w:pStyle w:val="ListBullet"/>
        <w:spacing w:after="80" w:line="264" w:lineRule="auto"/>
      </w:pPr>
      <w:r>
        <w:rPr>
          <w:rFonts w:ascii="Calibri" w:hAnsi="Calibri"/>
        </w:rPr>
        <w:t>Measure accepted-shot rate, continuity, prompt adherence, execution time, GPU/API spend and human correction effort.</w:t>
      </w:r>
    </w:p>
    <w:p>
      <w:pPr>
        <w:pStyle w:val="ListBullet"/>
        <w:spacing w:after="80" w:line="264" w:lineRule="auto"/>
      </w:pPr>
      <w:r>
        <w:rPr>
          <w:rFonts w:ascii="Calibri" w:hAnsi="Calibri"/>
        </w:rPr>
        <w:t>Confirm that the original client audio remains the only final soundtrack.</w:t>
      </w:r>
    </w:p>
    <w:p>
      <w:pPr>
        <w:pStyle w:val="ListBullet"/>
        <w:spacing w:after="80" w:line="264" w:lineRule="auto"/>
      </w:pPr>
      <w:r>
        <w:rPr>
          <w:rFonts w:ascii="Calibri" w:hAnsi="Calibri"/>
        </w:rPr>
        <w:t>Produce a documented go/no-go recommendation and reusable benchmark dataset.</w:t>
      </w:r>
    </w:p>
    <w:p>
      <w:pPr>
        <w:pStyle w:val="Heading2"/>
      </w:pPr>
      <w:r>
        <w:t>2.2 Non-goals</w:t>
      </w:r>
    </w:p>
    <w:p>
      <w:pPr>
        <w:pStyle w:val="ListBullet"/>
        <w:spacing w:after="80" w:line="264" w:lineRule="auto"/>
      </w:pPr>
      <w:r>
        <w:rPr>
          <w:rFonts w:ascii="Calibri" w:hAnsi="Calibri"/>
        </w:rPr>
        <w:t>Generating all 70 client clips on Runpod during this CR.</w:t>
      </w:r>
    </w:p>
    <w:p>
      <w:pPr>
        <w:pStyle w:val="ListBullet"/>
        <w:spacing w:after="80" w:line="264" w:lineRule="auto"/>
      </w:pPr>
      <w:r>
        <w:rPr>
          <w:rFonts w:ascii="Calibri" w:hAnsi="Calibri"/>
        </w:rPr>
        <w:t>Replacing FAL, OpenRouter, the existing shot planner or final assembly.</w:t>
      </w:r>
    </w:p>
    <w:p>
      <w:pPr>
        <w:pStyle w:val="ListBullet"/>
        <w:spacing w:after="80" w:line="264" w:lineRule="auto"/>
      </w:pPr>
      <w:r>
        <w:rPr>
          <w:rFonts w:ascii="Calibri" w:hAnsi="Calibri"/>
        </w:rPr>
        <w:t>Training character or style LoRAs.</w:t>
      </w:r>
    </w:p>
    <w:p>
      <w:pPr>
        <w:pStyle w:val="ListBullet"/>
        <w:spacing w:after="80" w:line="264" w:lineRule="auto"/>
      </w:pPr>
      <w:r>
        <w:rPr>
          <w:rFonts w:ascii="Calibri" w:hAnsi="Calibri"/>
        </w:rPr>
        <w:t>Allowing the model to rewrite the transcript, god selection or locked shot plan.</w:t>
      </w:r>
    </w:p>
    <w:p>
      <w:pPr>
        <w:pStyle w:val="ListBullet"/>
        <w:spacing w:after="80" w:line="264" w:lineRule="auto"/>
      </w:pPr>
      <w:r>
        <w:rPr>
          <w:rFonts w:ascii="Calibri" w:hAnsi="Calibri"/>
        </w:rPr>
        <w:t>Using H3-generated audio in any client deliverable.</w:t>
      </w:r>
    </w:p>
    <w:p>
      <w:pPr>
        <w:pStyle w:val="ListBullet"/>
        <w:spacing w:after="80" w:line="264" w:lineRule="auto"/>
      </w:pPr>
      <w:r>
        <w:rPr>
          <w:rFonts w:ascii="Calibri" w:hAnsi="Calibri"/>
        </w:rPr>
        <w:t>Building general ComfyUI workflow editing in the Content tab.</w:t>
      </w:r>
    </w:p>
    <w:p>
      <w:pPr>
        <w:pStyle w:val="ListBullet"/>
        <w:spacing w:after="80" w:line="264" w:lineRule="auto"/>
      </w:pPr>
      <w:r>
        <w:rPr>
          <w:rFonts w:ascii="Calibri" w:hAnsi="Calibri"/>
        </w:rPr>
        <w:t>Auto-scaling multiple production pods before reliability and economics are proven.</w:t>
      </w:r>
    </w:p>
    <w:p>
      <w:pPr>
        <w:pStyle w:val="Heading1"/>
      </w:pPr>
      <w:r>
        <w:t>3. Proposed benchmark flow</w:t>
      </w:r>
    </w:p>
    <w:p>
      <w:pPr>
        <w:spacing w:after="120"/>
      </w:pPr>
      <w:r>
        <w:t>The benchmark keeps creative inputs locked and varies only the generation route and candidate policy.</w:t>
      </w:r>
    </w:p>
    <w:p>
      <w:r>
        <w:drawing>
          <wp:inline xmlns:a="http://schemas.openxmlformats.org/drawingml/2006/main" xmlns:pic="http://schemas.openxmlformats.org/drawingml/2006/picture">
            <wp:extent cx="5806440" cy="3160196"/>
            <wp:docPr id="1" name="Picture 1" title="Controlled MiniMax H3 benchmark flow" descr="Three locked audio-to-shot inputs are generated with a FAL baseline, a single-candidate Runpod H3 Director route, and a Runpod seed-scouting route. Outputs are evaluated under one scorecard. Generated audio is discarded, and production routing remains unchanged until approval."/>
            <wp:cNvGraphicFramePr>
              <a:graphicFrameLocks noChangeAspect="1"/>
            </wp:cNvGraphicFramePr>
            <a:graphic>
              <a:graphicData uri="http://schemas.openxmlformats.org/drawingml/2006/picture">
                <pic:pic>
                  <pic:nvPicPr>
                    <pic:cNvPr id="0" name="cr_runpod_h3_benchmark_flow.png"/>
                    <pic:cNvPicPr/>
                  </pic:nvPicPr>
                  <pic:blipFill>
                    <a:blip r:embed="rId11"/>
                    <a:stretch>
                      <a:fillRect/>
                    </a:stretch>
                  </pic:blipFill>
                  <pic:spPr>
                    <a:xfrm>
                      <a:off x="0" y="0"/>
                      <a:ext cx="5806440" cy="3160196"/>
                    </a:xfrm>
                    <a:prstGeom prst="rect"/>
                  </pic:spPr>
                </pic:pic>
              </a:graphicData>
            </a:graphic>
          </wp:inline>
        </w:drawing>
      </w:r>
    </w:p>
    <w:p>
      <w:pPr>
        <w:pStyle w:val="Heading2"/>
      </w:pPr>
      <w:r>
        <w:t>3.1 Benchmark variants</w:t>
      </w:r>
    </w:p>
    <w:tbl>
      <w:tblPr>
        <w:tblStyle w:val="TableGrid"/>
        <w:tblW w:type="dxa" w:w="9360"/>
        <w:jc w:val="left"/>
        <w:tblLayout w:type="fixed"/>
        <w:tblLook w:firstColumn="1" w:firstRow="1" w:lastColumn="0" w:lastRow="0" w:noHBand="0" w:noVBand="1" w:val="04A0"/>
        <w:tblInd w:w="120" w:type="dxa"/>
      </w:tblPr>
      <w:tblGrid>
        <w:gridCol w:w="1450"/>
        <w:gridCol w:w="3700"/>
        <w:gridCol w:w="4210"/>
      </w:tblGrid>
      <w:tr>
        <w:trPr>
          <w:tblHeader w:val="true"/>
        </w:trPr>
        <w:tc>
          <w:tcPr>
            <w:tcW w:type="dxa" w:w="1450"/>
            <w:shd w:fill="F2F4F7"/>
            <w:vAlign w:val="center"/>
            <w:tcMar>
              <w:top w:w="80" w:type="dxa"/>
              <w:start w:w="120" w:type="dxa"/>
              <w:bottom w:w="80" w:type="dxa"/>
              <w:end w:w="120" w:type="dxa"/>
            </w:tcMar>
          </w:tcPr>
          <w:p>
            <w:pPr>
              <w:spacing w:after="0"/>
            </w:pPr>
            <w:r>
              <w:rPr>
                <w:rFonts w:ascii="Calibri" w:hAnsi="Calibri"/>
                <w:b/>
                <w:color w:val="163A5A"/>
                <w:sz w:val="17"/>
              </w:rPr>
              <w:t>Variant</w:t>
            </w:r>
          </w:p>
        </w:tc>
        <w:tc>
          <w:tcPr>
            <w:tcW w:type="dxa" w:w="3700"/>
            <w:shd w:fill="F2F4F7"/>
            <w:vAlign w:val="center"/>
            <w:tcMar>
              <w:top w:w="80" w:type="dxa"/>
              <w:start w:w="120" w:type="dxa"/>
              <w:bottom w:w="80" w:type="dxa"/>
              <w:end w:w="120" w:type="dxa"/>
            </w:tcMar>
          </w:tcPr>
          <w:p>
            <w:pPr>
              <w:spacing w:after="0"/>
            </w:pPr>
            <w:r>
              <w:rPr>
                <w:rFonts w:ascii="Calibri" w:hAnsi="Calibri"/>
                <w:b/>
                <w:color w:val="163A5A"/>
                <w:sz w:val="17"/>
              </w:rPr>
              <w:t>Execution path</w:t>
            </w:r>
          </w:p>
        </w:tc>
        <w:tc>
          <w:tcPr>
            <w:tcW w:type="dxa" w:w="4210"/>
            <w:shd w:fill="F2F4F7"/>
            <w:vAlign w:val="center"/>
            <w:tcMar>
              <w:top w:w="80" w:type="dxa"/>
              <w:start w:w="120" w:type="dxa"/>
              <w:bottom w:w="80" w:type="dxa"/>
              <w:end w:w="120" w:type="dxa"/>
            </w:tcMar>
          </w:tcPr>
          <w:p>
            <w:pPr>
              <w:spacing w:after="0"/>
            </w:pPr>
            <w:r>
              <w:rPr>
                <w:rFonts w:ascii="Calibri" w:hAnsi="Calibri"/>
                <w:b/>
                <w:color w:val="163A5A"/>
                <w:sz w:val="17"/>
              </w:rPr>
              <w:t>Purpose</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7"/>
              </w:rPr>
              <w:t>A - Baseline</w:t>
            </w:r>
          </w:p>
        </w:tc>
        <w:tc>
          <w:tcPr>
            <w:tcW w:type="dxa" w:w="3700"/>
            <w:vAlign w:val="top"/>
            <w:tcMar>
              <w:top w:w="80" w:type="dxa"/>
              <w:start w:w="120" w:type="dxa"/>
              <w:bottom w:w="80" w:type="dxa"/>
              <w:end w:w="120" w:type="dxa"/>
            </w:tcMar>
          </w:tcPr>
          <w:p>
            <w:pPr>
              <w:spacing w:after="0" w:line="252" w:lineRule="auto"/>
            </w:pPr>
            <w:r>
              <w:rPr>
                <w:rFonts w:ascii="Calibri" w:hAnsi="Calibri"/>
                <w:color w:val="000000"/>
                <w:sz w:val="17"/>
              </w:rPr>
              <w:t>Existing shot plan and references -&gt; FAL MiniMax H3</w:t>
            </w:r>
          </w:p>
        </w:tc>
        <w:tc>
          <w:tcPr>
            <w:tcW w:type="dxa" w:w="4210"/>
            <w:vAlign w:val="top"/>
            <w:tcMar>
              <w:top w:w="80" w:type="dxa"/>
              <w:start w:w="120" w:type="dxa"/>
              <w:bottom w:w="80" w:type="dxa"/>
              <w:end w:w="120" w:type="dxa"/>
            </w:tcMar>
          </w:tcPr>
          <w:p>
            <w:pPr>
              <w:spacing w:after="0" w:line="252" w:lineRule="auto"/>
            </w:pPr>
            <w:r>
              <w:rPr>
                <w:rFonts w:ascii="Calibri" w:hAnsi="Calibri"/>
                <w:color w:val="000000"/>
                <w:sz w:val="17"/>
              </w:rPr>
              <w:t>Measure current hosted quality, latency, retries and total approved cost.</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7"/>
              </w:rPr>
              <w:t>B - Runpod single</w:t>
            </w:r>
          </w:p>
        </w:tc>
        <w:tc>
          <w:tcPr>
            <w:tcW w:type="dxa" w:w="3700"/>
            <w:vAlign w:val="top"/>
            <w:tcMar>
              <w:top w:w="80" w:type="dxa"/>
              <w:start w:w="120" w:type="dxa"/>
              <w:bottom w:w="80" w:type="dxa"/>
              <w:end w:w="120" w:type="dxa"/>
            </w:tcMar>
          </w:tcPr>
          <w:p>
            <w:pPr>
              <w:spacing w:after="0" w:line="252" w:lineRule="auto"/>
            </w:pPr>
            <w:r>
              <w:rPr>
                <w:rFonts w:ascii="Calibri" w:hAnsi="Calibri"/>
                <w:color w:val="000000"/>
                <w:sz w:val="17"/>
              </w:rPr>
              <w:t>Same inputs -&gt; H3 Director -&gt; one full candidate</w:t>
            </w:r>
          </w:p>
        </w:tc>
        <w:tc>
          <w:tcPr>
            <w:tcW w:type="dxa" w:w="4210"/>
            <w:vAlign w:val="top"/>
            <w:tcMar>
              <w:top w:w="80" w:type="dxa"/>
              <w:start w:w="120" w:type="dxa"/>
              <w:bottom w:w="80" w:type="dxa"/>
              <w:end w:w="120" w:type="dxa"/>
            </w:tcMar>
          </w:tcPr>
          <w:p>
            <w:pPr>
              <w:spacing w:after="0" w:line="252" w:lineRule="auto"/>
            </w:pPr>
            <w:r>
              <w:rPr>
                <w:rFonts w:ascii="Calibri" w:hAnsi="Calibri"/>
                <w:color w:val="000000"/>
                <w:sz w:val="17"/>
              </w:rPr>
              <w:t>Measure the self-hosted path without seed-scouting overhead.</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7"/>
              </w:rPr>
              <w:t>C - Runpod scout</w:t>
            </w:r>
          </w:p>
        </w:tc>
        <w:tc>
          <w:tcPr>
            <w:tcW w:type="dxa" w:w="3700"/>
            <w:vAlign w:val="top"/>
            <w:tcMar>
              <w:top w:w="80" w:type="dxa"/>
              <w:start w:w="120" w:type="dxa"/>
              <w:bottom w:w="80" w:type="dxa"/>
              <w:end w:w="120" w:type="dxa"/>
            </w:tcMar>
          </w:tcPr>
          <w:p>
            <w:pPr>
              <w:spacing w:after="0" w:line="252" w:lineRule="auto"/>
            </w:pPr>
            <w:r>
              <w:rPr>
                <w:rFonts w:ascii="Calibri" w:hAnsi="Calibri"/>
                <w:color w:val="000000"/>
                <w:sz w:val="17"/>
              </w:rPr>
              <w:t>Same inputs -&gt; low-cost seed scouting -&gt; selected seed refinement</w:t>
            </w:r>
          </w:p>
        </w:tc>
        <w:tc>
          <w:tcPr>
            <w:tcW w:type="dxa" w:w="4210"/>
            <w:vAlign w:val="top"/>
            <w:tcMar>
              <w:top w:w="80" w:type="dxa"/>
              <w:start w:w="120" w:type="dxa"/>
              <w:bottom w:w="80" w:type="dxa"/>
              <w:end w:w="120" w:type="dxa"/>
            </w:tcMar>
          </w:tcPr>
          <w:p>
            <w:pPr>
              <w:spacing w:after="0" w:line="252" w:lineRule="auto"/>
            </w:pPr>
            <w:r>
              <w:rPr>
                <w:rFonts w:ascii="Calibri" w:hAnsi="Calibri"/>
                <w:color w:val="000000"/>
                <w:sz w:val="17"/>
              </w:rPr>
              <w:t>Test whether candidate scouting improves acceptance enough to justify added compute.</w:t>
            </w:r>
          </w:p>
        </w:tc>
      </w:tr>
    </w:tbl>
    <w:p>
      <w:pPr>
        <w:spacing w:after="0"/>
      </w:pPr>
    </w:p>
    <w:tbl>
      <w:tblPr>
        <w:tblStyle w:val="TableGrid"/>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start w:w="120" w:type="dxa"/>
              <w:bottom w:w="80" w:type="dxa"/>
              <w:end w:w="120" w:type="dxa"/>
            </w:tcMar>
            <w:shd w:fill="E8EEF5"/>
          </w:tcPr>
          <w:p>
            <w:pPr>
              <w:spacing w:after="0"/>
            </w:pPr>
            <w:r>
              <w:rPr>
                <w:rFonts w:ascii="Calibri" w:hAnsi="Calibri"/>
                <w:b/>
                <w:color w:val="163A5A"/>
              </w:rPr>
              <w:t xml:space="preserve">Fair-comparison rule: </w:t>
            </w:r>
            <w:r>
              <w:rPr>
                <w:rFonts w:ascii="Calibri" w:hAnsi="Calibri"/>
              </w:rPr>
              <w:t>All variants must use the same source audio, approved god profile, reference images, shot boundaries, text prompt content, negative rules, resolution target and evaluation rubric. Route-specific syntax and sampling parameters may differ only where required by the provider.</w:t>
            </w:r>
          </w:p>
        </w:tc>
      </w:tr>
    </w:tbl>
    <w:p>
      <w:pPr>
        <w:spacing w:after="0"/>
      </w:pPr>
    </w:p>
    <w:p>
      <w:r>
        <w:br w:type="page"/>
      </w:r>
    </w:p>
    <w:p>
      <w:pPr>
        <w:pStyle w:val="Heading1"/>
      </w:pPr>
      <w:r>
        <w:t>4. Functional requirements</w:t>
      </w:r>
    </w:p>
    <w:tbl>
      <w:tblPr>
        <w:tblStyle w:val="TableGrid"/>
        <w:tblW w:type="dxa" w:w="9360"/>
        <w:jc w:val="left"/>
        <w:tblLayout w:type="fixed"/>
        <w:tblLook w:firstColumn="1" w:firstRow="1" w:lastColumn="0" w:lastRow="0" w:noHBand="0" w:noVBand="1" w:val="04A0"/>
        <w:tblInd w:w="120" w:type="dxa"/>
      </w:tblPr>
      <w:tblGrid>
        <w:gridCol w:w="1500"/>
        <w:gridCol w:w="6900"/>
        <w:gridCol w:w="960"/>
      </w:tblGrid>
      <w:tr>
        <w:trPr>
          <w:tblHeader w:val="true"/>
        </w:trPr>
        <w:tc>
          <w:tcPr>
            <w:tcW w:type="dxa" w:w="1500"/>
            <w:shd w:fill="F2F4F7"/>
            <w:vAlign w:val="center"/>
            <w:tcMar>
              <w:top w:w="80" w:type="dxa"/>
              <w:start w:w="120" w:type="dxa"/>
              <w:bottom w:w="80" w:type="dxa"/>
              <w:end w:w="120" w:type="dxa"/>
            </w:tcMar>
          </w:tcPr>
          <w:p>
            <w:pPr>
              <w:spacing w:after="0"/>
            </w:pPr>
            <w:r>
              <w:rPr>
                <w:rFonts w:ascii="Calibri" w:hAnsi="Calibri"/>
                <w:b/>
                <w:color w:val="163A5A"/>
                <w:sz w:val="16"/>
              </w:rPr>
              <w:t>ID</w:t>
            </w:r>
          </w:p>
        </w:tc>
        <w:tc>
          <w:tcPr>
            <w:tcW w:type="dxa" w:w="6900"/>
            <w:shd w:fill="F2F4F7"/>
            <w:vAlign w:val="center"/>
            <w:tcMar>
              <w:top w:w="80" w:type="dxa"/>
              <w:start w:w="120" w:type="dxa"/>
              <w:bottom w:w="80" w:type="dxa"/>
              <w:end w:w="120" w:type="dxa"/>
            </w:tcMar>
          </w:tcPr>
          <w:p>
            <w:pPr>
              <w:spacing w:after="0"/>
            </w:pPr>
            <w:r>
              <w:rPr>
                <w:rFonts w:ascii="Calibri" w:hAnsi="Calibri"/>
                <w:b/>
                <w:color w:val="163A5A"/>
                <w:sz w:val="16"/>
              </w:rPr>
              <w:t>Requirement</w:t>
            </w:r>
          </w:p>
        </w:tc>
        <w:tc>
          <w:tcPr>
            <w:tcW w:type="dxa" w:w="960"/>
            <w:shd w:fill="F2F4F7"/>
            <w:vAlign w:val="center"/>
            <w:tcMar>
              <w:top w:w="80" w:type="dxa"/>
              <w:start w:w="120" w:type="dxa"/>
              <w:bottom w:w="80" w:type="dxa"/>
              <w:end w:w="120" w:type="dxa"/>
            </w:tcMar>
          </w:tcPr>
          <w:p>
            <w:pPr>
              <w:spacing w:after="0"/>
            </w:pPr>
            <w:r>
              <w:rPr>
                <w:rFonts w:ascii="Calibri" w:hAnsi="Calibri"/>
                <w:b/>
                <w:color w:val="163A5A"/>
                <w:sz w:val="16"/>
              </w:rPr>
              <w:t>Priority</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CR-H3-001</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system shall expose Runpod H3 Director as a provider-neutral H3DirectorAdapter, not as direct UI-to-ComfyUI calls.</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CR-H3-002</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An authorized operator shall be able to select Benchmark Mode for an approved pilot clip without changing its normal production route.</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CR-H3-003</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adapter shall submit a job, query status, retrieve outputs, surface progress, cancel a run and map failures to normalized error codes.</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CR-H3-004</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Every run shall persist model/version, repository commit SHA, workflow version, GPU type, seed, parameters, input asset IDs, timestamps and output asset IDs.</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CR-H3-005</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system shall support a single-candidate mode and a seed-scout-plus-refine mode.</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CR-H3-006</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prompt compiler shall preserve timed CUT order, durations and H3 reference tags and shall expose the compiled prompt for inspection.</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CR-H3-007</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Multi-chunk generation shall preserve chunk-to-shot mapping and record the exact frame or latent continuity method used.</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CR-H3-008</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original client audio shall remain locked; H3-generated audio shall be stripped before final assembly and shall never be mixed into the deliverable.</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CR-H3-009</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benchmark shall create side-by-side comparable outputs and a blinded evaluator view that hides provider identity during quality scoring.</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CR-H3-010</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system shall calculate GPU/API cost, accepted output seconds, attempts, wall time and human correction time for every variant.</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CR-H3-011</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Failed Runpod jobs shall be resumable or safely retryable without duplicating already accepted outputs.</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CR-H3-012</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operator shall be able to disable the adapter through configuration without redeploying the Content application.</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CR-H3-013</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A hard benchmark spend limit and per-job runtime limit shall stop new submissions when reached.</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6"/>
              </w:rPr>
              <w:t>CR-H3-014</w:t>
            </w:r>
          </w:p>
        </w:tc>
        <w:tc>
          <w:tcPr>
            <w:tcW w:type="dxa" w:w="6900"/>
            <w:vAlign w:val="top"/>
            <w:tcMar>
              <w:top w:w="80" w:type="dxa"/>
              <w:start w:w="120" w:type="dxa"/>
              <w:bottom w:w="80" w:type="dxa"/>
              <w:end w:w="120" w:type="dxa"/>
            </w:tcMar>
          </w:tcPr>
          <w:p>
            <w:pPr>
              <w:spacing w:after="0" w:line="252" w:lineRule="auto"/>
            </w:pPr>
            <w:r>
              <w:rPr>
                <w:rFonts w:ascii="Calibri" w:hAnsi="Calibri"/>
                <w:color w:val="000000"/>
                <w:sz w:val="16"/>
              </w:rPr>
              <w:t>The benchmark report shall recommend Adopt, Retain as Experimental, or Reject with metric evidence.</w:t>
            </w:r>
          </w:p>
        </w:tc>
        <w:tc>
          <w:tcPr>
            <w:tcW w:type="dxa" w:w="960"/>
            <w:vAlign w:val="top"/>
            <w:tcMar>
              <w:top w:w="80" w:type="dxa"/>
              <w:start w:w="120" w:type="dxa"/>
              <w:bottom w:w="80" w:type="dxa"/>
              <w:end w:w="120" w:type="dxa"/>
            </w:tcMar>
          </w:tcPr>
          <w:p>
            <w:pPr>
              <w:spacing w:after="0" w:line="252" w:lineRule="auto"/>
            </w:pPr>
            <w:r>
              <w:rPr>
                <w:rFonts w:ascii="Calibri" w:hAnsi="Calibri"/>
                <w:color w:val="000000"/>
                <w:sz w:val="16"/>
              </w:rPr>
              <w:t>Must</w:t>
            </w:r>
          </w:p>
        </w:tc>
      </w:tr>
    </w:tbl>
    <w:p>
      <w:pPr>
        <w:spacing w:after="0"/>
      </w:pPr>
    </w:p>
    <w:p>
      <w:r>
        <w:br w:type="page"/>
      </w:r>
    </w:p>
    <w:p>
      <w:pPr>
        <w:pStyle w:val="Heading1"/>
      </w:pPr>
      <w:r>
        <w:t>5. Runpod environment requirements</w:t>
      </w:r>
    </w:p>
    <w:p>
      <w:pPr>
        <w:pStyle w:val="Heading2"/>
      </w:pPr>
      <w:r>
        <w:t>5.1 Deployment profile</w:t>
      </w:r>
    </w:p>
    <w:p>
      <w:pPr>
        <w:pStyle w:val="ListBullet"/>
        <w:spacing w:after="80" w:line="264" w:lineRule="auto"/>
      </w:pPr>
      <w:r>
        <w:rPr>
          <w:rFonts w:ascii="Calibri" w:hAnsi="Calibri"/>
        </w:rPr>
        <w:t>Reuse the currently working MiniMax H3 Runpod template where possible, and pin its container image, ComfyUI version, H3 Director commit and Python dependency lock.</w:t>
      </w:r>
    </w:p>
    <w:p>
      <w:pPr>
        <w:pStyle w:val="ListBullet"/>
        <w:spacing w:after="80" w:line="264" w:lineRule="auto"/>
      </w:pPr>
      <w:r>
        <w:rPr>
          <w:rFonts w:ascii="Calibri" w:hAnsi="Calibri"/>
        </w:rPr>
        <w:t>Use a persistent volume for model weights, approved references, compiled workflows and reusable caches; completed outputs may move to object storage.</w:t>
      </w:r>
    </w:p>
    <w:p>
      <w:pPr>
        <w:pStyle w:val="ListBullet"/>
        <w:spacing w:after="80" w:line="264" w:lineRule="auto"/>
      </w:pPr>
      <w:r>
        <w:rPr>
          <w:rFonts w:ascii="Calibri" w:hAnsi="Calibri"/>
        </w:rPr>
        <w:t>Select the GPU profile through configuration, and prove model load plus one short generation without out-of-memory failure before the benchmark.</w:t>
      </w:r>
    </w:p>
    <w:p>
      <w:pPr>
        <w:pStyle w:val="ListBullet"/>
        <w:spacing w:after="80" w:line="264" w:lineRule="auto"/>
      </w:pPr>
      <w:r>
        <w:rPr>
          <w:rFonts w:ascii="Calibri" w:hAnsi="Calibri"/>
        </w:rPr>
        <w:t>Expose only an authenticated server-to-server endpoint or worker queue; keep ComfyUI private and check GPU, model, node, disk and queue readiness.</w:t>
      </w:r>
    </w:p>
    <w:p>
      <w:pPr>
        <w:pStyle w:val="ListBullet"/>
        <w:spacing w:after="80" w:line="264" w:lineRule="auto"/>
      </w:pPr>
      <w:r>
        <w:rPr>
          <w:rFonts w:ascii="Calibri" w:hAnsi="Calibri"/>
        </w:rPr>
        <w:t>Capture pod start and stop time so startup and idle GPU cost are included in the comparison.</w:t>
      </w:r>
    </w:p>
    <w:p>
      <w:pPr>
        <w:pStyle w:val="Heading2"/>
      </w:pPr>
      <w:r>
        <w:t>5.2 Installation and compatibility checks</w:t>
      </w:r>
    </w:p>
    <w:tbl>
      <w:tblPr>
        <w:tblStyle w:val="TableGrid"/>
        <w:tblW w:type="dxa" w:w="9360"/>
        <w:jc w:val="left"/>
        <w:tblLayout w:type="fixed"/>
        <w:tblLook w:firstColumn="1" w:firstRow="1" w:lastColumn="0" w:lastRow="0" w:noHBand="0" w:noVBand="1" w:val="04A0"/>
        <w:tblInd w:w="120" w:type="dxa"/>
      </w:tblPr>
      <w:tblGrid>
        <w:gridCol w:w="1950"/>
        <w:gridCol w:w="4250"/>
        <w:gridCol w:w="3160"/>
      </w:tblGrid>
      <w:tr>
        <w:trPr>
          <w:tblHeader w:val="true"/>
        </w:trPr>
        <w:tc>
          <w:tcPr>
            <w:tcW w:type="dxa" w:w="1950"/>
            <w:shd w:fill="F2F4F7"/>
            <w:vAlign w:val="center"/>
            <w:tcMar>
              <w:top w:w="80" w:type="dxa"/>
              <w:start w:w="120" w:type="dxa"/>
              <w:bottom w:w="80" w:type="dxa"/>
              <w:end w:w="120" w:type="dxa"/>
            </w:tcMar>
          </w:tcPr>
          <w:p>
            <w:pPr>
              <w:spacing w:after="0"/>
            </w:pPr>
            <w:r>
              <w:rPr>
                <w:rFonts w:ascii="Calibri" w:hAnsi="Calibri"/>
                <w:b/>
                <w:color w:val="163A5A"/>
                <w:sz w:val="16"/>
              </w:rPr>
              <w:t>Check</w:t>
            </w:r>
          </w:p>
        </w:tc>
        <w:tc>
          <w:tcPr>
            <w:tcW w:type="dxa" w:w="4250"/>
            <w:shd w:fill="F2F4F7"/>
            <w:vAlign w:val="center"/>
            <w:tcMar>
              <w:top w:w="80" w:type="dxa"/>
              <w:start w:w="120" w:type="dxa"/>
              <w:bottom w:w="80" w:type="dxa"/>
              <w:end w:w="120" w:type="dxa"/>
            </w:tcMar>
          </w:tcPr>
          <w:p>
            <w:pPr>
              <w:spacing w:after="0"/>
            </w:pPr>
            <w:r>
              <w:rPr>
                <w:rFonts w:ascii="Calibri" w:hAnsi="Calibri"/>
                <w:b/>
                <w:color w:val="163A5A"/>
                <w:sz w:val="16"/>
              </w:rPr>
              <w:t>Required result</w:t>
            </w:r>
          </w:p>
        </w:tc>
        <w:tc>
          <w:tcPr>
            <w:tcW w:type="dxa" w:w="3160"/>
            <w:shd w:fill="F2F4F7"/>
            <w:vAlign w:val="center"/>
            <w:tcMar>
              <w:top w:w="80" w:type="dxa"/>
              <w:start w:w="120" w:type="dxa"/>
              <w:bottom w:w="80" w:type="dxa"/>
              <w:end w:w="120" w:type="dxa"/>
            </w:tcMar>
          </w:tcPr>
          <w:p>
            <w:pPr>
              <w:spacing w:after="0"/>
            </w:pPr>
            <w:r>
              <w:rPr>
                <w:rFonts w:ascii="Calibri" w:hAnsi="Calibri"/>
                <w:b/>
                <w:color w:val="163A5A"/>
                <w:sz w:val="16"/>
              </w:rPr>
              <w:t>Failure action</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Repository install</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Pinned commit loads without custom-node import error.</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Stop; correct dependencies before any benchmark run.</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Python/media dependencies</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Declared and imported packages, including audio/video decoding dependencies, pass startup checks.</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Update the benchmark image and lock file; record deviation.</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H3 model assets</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Model, text encoder, VAE and required components load from approved storage.</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Stop and report missing or incompatible weights.</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Workflow schema</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Single-shot and multi-chunk example requests validate.</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Reject the adapter build until schema is stable.</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Multi-chunk CUT mapping</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Every CUT appears once, in order, in the expected chunk and final output.</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Block the multi-chunk benchmark and raise a defect.</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Audio stripping</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No generated audio stream survives the generation-output normalization step.</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Critical failure; block all further runs.</w:t>
            </w:r>
          </w:p>
        </w:tc>
      </w:tr>
      <w:tr>
        <w:trPr>
          <w:cantSplit/>
        </w:trPr>
        <w:tc>
          <w:tcPr>
            <w:tcW w:type="dxa" w:w="1950"/>
            <w:vAlign w:val="top"/>
            <w:tcMar>
              <w:top w:w="80" w:type="dxa"/>
              <w:start w:w="120" w:type="dxa"/>
              <w:bottom w:w="80" w:type="dxa"/>
              <w:end w:w="120" w:type="dxa"/>
            </w:tcMar>
          </w:tcPr>
          <w:p>
            <w:pPr>
              <w:spacing w:after="0" w:line="252" w:lineRule="auto"/>
            </w:pPr>
            <w:r>
              <w:rPr>
                <w:rFonts w:ascii="Calibri" w:hAnsi="Calibri"/>
                <w:color w:val="000000"/>
                <w:sz w:val="16"/>
              </w:rPr>
              <w:t>Licence gate</w:t>
            </w:r>
          </w:p>
        </w:tc>
        <w:tc>
          <w:tcPr>
            <w:tcW w:type="dxa" w:w="4250"/>
            <w:vAlign w:val="top"/>
            <w:tcMar>
              <w:top w:w="80" w:type="dxa"/>
              <w:start w:w="120" w:type="dxa"/>
              <w:bottom w:w="80" w:type="dxa"/>
              <w:end w:w="120" w:type="dxa"/>
            </w:tcMar>
          </w:tcPr>
          <w:p>
            <w:pPr>
              <w:spacing w:after="0" w:line="252" w:lineRule="auto"/>
            </w:pPr>
            <w:r>
              <w:rPr>
                <w:rFonts w:ascii="Calibri" w:hAnsi="Calibri"/>
                <w:color w:val="000000"/>
                <w:sz w:val="16"/>
              </w:rPr>
              <w:t>Commercial use and intended distribution territories are approved before client production.</w:t>
            </w:r>
          </w:p>
        </w:tc>
        <w:tc>
          <w:tcPr>
            <w:tcW w:type="dxa" w:w="3160"/>
            <w:vAlign w:val="top"/>
            <w:tcMar>
              <w:top w:w="80" w:type="dxa"/>
              <w:start w:w="120" w:type="dxa"/>
              <w:bottom w:w="80" w:type="dxa"/>
              <w:end w:w="120" w:type="dxa"/>
            </w:tcMar>
          </w:tcPr>
          <w:p>
            <w:pPr>
              <w:spacing w:after="0" w:line="252" w:lineRule="auto"/>
            </w:pPr>
            <w:r>
              <w:rPr>
                <w:rFonts w:ascii="Calibri" w:hAnsi="Calibri"/>
                <w:color w:val="000000"/>
                <w:sz w:val="16"/>
              </w:rPr>
              <w:t>Benchmark may remain internal; production adoption is blocked.</w:t>
            </w:r>
          </w:p>
        </w:tc>
      </w:tr>
    </w:tbl>
    <w:p>
      <w:pPr>
        <w:spacing w:after="0"/>
      </w:pPr>
    </w:p>
    <w:p>
      <w:r>
        <w:br w:type="page"/>
      </w:r>
    </w:p>
    <w:p>
      <w:pPr>
        <w:pStyle w:val="Heading1"/>
      </w:pPr>
      <w:r>
        <w:t>6. Adapter and integration requirements</w:t>
      </w:r>
    </w:p>
    <w:p>
      <w:pPr>
        <w:pStyle w:val="Heading2"/>
      </w:pPr>
      <w:r>
        <w:t>6.1 Provider-neutral contract</w:t>
      </w:r>
    </w:p>
    <w:tbl>
      <w:tblPr>
        <w:tblStyle w:val="TableGrid"/>
        <w:tblW w:type="dxa" w:w="9360"/>
        <w:jc w:val="left"/>
        <w:tblLayout w:type="fixed"/>
        <w:tblLook w:firstColumn="1" w:firstRow="1" w:lastColumn="0" w:lastRow="0" w:noHBand="0" w:noVBand="1" w:val="04A0"/>
        <w:tblInd w:w="120" w:type="dxa"/>
      </w:tblPr>
      <w:tblGrid>
        <w:gridCol w:w="2500"/>
        <w:gridCol w:w="6860"/>
      </w:tblGrid>
      <w:tr>
        <w:trPr>
          <w:tblHeader w:val="true"/>
        </w:trPr>
        <w:tc>
          <w:tcPr>
            <w:tcW w:type="dxa" w:w="2500"/>
            <w:shd w:fill="F2F4F7"/>
            <w:vAlign w:val="center"/>
            <w:tcMar>
              <w:top w:w="80" w:type="dxa"/>
              <w:start w:w="120" w:type="dxa"/>
              <w:bottom w:w="80" w:type="dxa"/>
              <w:end w:w="120" w:type="dxa"/>
            </w:tcMar>
          </w:tcPr>
          <w:p>
            <w:pPr>
              <w:spacing w:after="0"/>
            </w:pPr>
            <w:r>
              <w:rPr>
                <w:rFonts w:ascii="Calibri" w:hAnsi="Calibri"/>
                <w:b/>
                <w:color w:val="163A5A"/>
                <w:sz w:val="17"/>
              </w:rPr>
              <w:t>Operation</w:t>
            </w:r>
          </w:p>
        </w:tc>
        <w:tc>
          <w:tcPr>
            <w:tcW w:type="dxa" w:w="6860"/>
            <w:shd w:fill="F2F4F7"/>
            <w:vAlign w:val="center"/>
            <w:tcMar>
              <w:top w:w="80" w:type="dxa"/>
              <w:start w:w="120" w:type="dxa"/>
              <w:bottom w:w="80" w:type="dxa"/>
              <w:end w:w="120" w:type="dxa"/>
            </w:tcMar>
          </w:tcPr>
          <w:p>
            <w:pPr>
              <w:spacing w:after="0"/>
            </w:pPr>
            <w:r>
              <w:rPr>
                <w:rFonts w:ascii="Calibri" w:hAnsi="Calibri"/>
                <w:b/>
                <w:color w:val="163A5A"/>
                <w:sz w:val="17"/>
              </w:rPr>
              <w:t>Required behaviour</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7"/>
              </w:rPr>
              <w:t>submitGeneration(request)</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7"/>
              </w:rPr>
              <w:t>Validate locked inputs, resolve Runpod profile, create idempotency key and return normalized job ID.</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7"/>
              </w:rPr>
              <w:t>getGenerationStatus(jobId)</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7"/>
              </w:rPr>
              <w:t>Return queued, loading, running, refining, succeeded, failed or cancelled plus progress and timestamps.</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7"/>
              </w:rPr>
              <w:t>cancelGeneration(jobId)</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7"/>
              </w:rPr>
              <w:t>Prevent subsequent stages and release active work where the backend supports cancellation.</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7"/>
              </w:rPr>
              <w:t>getGenerationResult(jobId)</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7"/>
              </w:rPr>
              <w:t>Return video assets, diagnostic preview assets, compiled prompt, seed/parameters, logs summary, timing and cost.</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7"/>
              </w:rPr>
              <w:t>healthCheck(profile)</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7"/>
              </w:rPr>
              <w:t>Report endpoint reachability, GPU/model readiness, free disk, custom-node version and queue depth.</w:t>
            </w:r>
          </w:p>
        </w:tc>
      </w:tr>
    </w:tbl>
    <w:p>
      <w:pPr>
        <w:spacing w:after="0"/>
      </w:pPr>
    </w:p>
    <w:p>
      <w:pPr>
        <w:pStyle w:val="Heading2"/>
      </w:pPr>
      <w:r>
        <w:t>6.2 Normalized request</w:t>
      </w:r>
    </w:p>
    <w:p>
      <w:pPr>
        <w:pStyle w:val="ListBullet"/>
        <w:spacing w:after="80" w:line="264" w:lineRule="auto"/>
      </w:pPr>
      <w:r>
        <w:rPr>
          <w:rFonts w:ascii="Calibri" w:hAnsi="Calibri"/>
        </w:rPr>
        <w:t>clip ID, shot IDs and immutable benchmark dataset version</w:t>
      </w:r>
    </w:p>
    <w:p>
      <w:pPr>
        <w:pStyle w:val="ListBullet"/>
        <w:spacing w:after="80" w:line="264" w:lineRule="auto"/>
      </w:pPr>
      <w:r>
        <w:rPr>
          <w:rFonts w:ascii="Calibri" w:hAnsi="Calibri"/>
        </w:rPr>
        <w:t>timed CUTs whose durations reconcile to the planned H3 chunk duration</w:t>
      </w:r>
    </w:p>
    <w:p>
      <w:pPr>
        <w:pStyle w:val="ListBullet"/>
        <w:spacing w:after="80" w:line="264" w:lineRule="auto"/>
      </w:pPr>
      <w:r>
        <w:rPr>
          <w:rFonts w:ascii="Calibri" w:hAnsi="Calibri"/>
        </w:rPr>
        <w:t>approved prompt and negative constraints</w:t>
      </w:r>
    </w:p>
    <w:p>
      <w:pPr>
        <w:pStyle w:val="ListBullet"/>
        <w:spacing w:after="80" w:line="264" w:lineRule="auto"/>
      </w:pPr>
      <w:r>
        <w:rPr>
          <w:rFonts w:ascii="Calibri" w:hAnsi="Calibri"/>
        </w:rPr>
        <w:t>ordered image/video/audio reference assets with stable IDs</w:t>
      </w:r>
    </w:p>
    <w:p>
      <w:pPr>
        <w:pStyle w:val="ListBullet"/>
        <w:spacing w:after="80" w:line="264" w:lineRule="auto"/>
      </w:pPr>
      <w:r>
        <w:rPr>
          <w:rFonts w:ascii="Calibri" w:hAnsi="Calibri"/>
        </w:rPr>
        <w:t>output aspect ratio, resolution, frame rate and duration</w:t>
      </w:r>
    </w:p>
    <w:p>
      <w:pPr>
        <w:pStyle w:val="ListBullet"/>
        <w:spacing w:after="80" w:line="264" w:lineRule="auto"/>
      </w:pPr>
      <w:r>
        <w:rPr>
          <w:rFonts w:ascii="Calibri" w:hAnsi="Calibri"/>
        </w:rPr>
        <w:t>generation mode: single-candidate or seed-scout-refine</w:t>
      </w:r>
    </w:p>
    <w:p>
      <w:pPr>
        <w:pStyle w:val="ListBullet"/>
        <w:spacing w:after="80" w:line="264" w:lineRule="auto"/>
      </w:pPr>
      <w:r>
        <w:rPr>
          <w:rFonts w:ascii="Calibri" w:hAnsi="Calibri"/>
        </w:rPr>
        <w:t>seed policy, scout count, sampler parameters and refinement policy</w:t>
      </w:r>
    </w:p>
    <w:p>
      <w:pPr>
        <w:pStyle w:val="ListBullet"/>
        <w:spacing w:after="80" w:line="264" w:lineRule="auto"/>
      </w:pPr>
      <w:r>
        <w:rPr>
          <w:rFonts w:ascii="Calibri" w:hAnsi="Calibri"/>
        </w:rPr>
        <w:t>spend cap, runtime limit, retry policy and callback destination</w:t>
      </w:r>
    </w:p>
    <w:p>
      <w:pPr>
        <w:pStyle w:val="Heading2"/>
      </w:pPr>
      <w:r>
        <w:t>6.3 State and idempotency</w:t>
      </w:r>
    </w:p>
    <w:p>
      <w:r>
        <w:t>A benchmark submission shall be idempotent for the combination of dataset version, clip, shot, variant and attempt number. A timeout must not create a second GPU run unless the first run is confirmed absent or terminal. Job state shall be recorded outside the Runpod pod so a pod restart does not erase orchestration history.</w:t>
      </w:r>
    </w:p>
    <w:p>
      <w:r>
        <w:br w:type="page"/>
      </w:r>
    </w:p>
    <w:p>
      <w:pPr>
        <w:pStyle w:val="Heading1"/>
      </w:pPr>
      <w:r>
        <w:t>7. Audio and media policy</w:t>
      </w:r>
    </w:p>
    <w:tbl>
      <w:tblPr>
        <w:tblStyle w:val="TableGrid"/>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start w:w="120" w:type="dxa"/>
              <w:bottom w:w="80" w:type="dxa"/>
              <w:end w:w="120" w:type="dxa"/>
            </w:tcMar>
            <w:shd w:fill="F7F3E8"/>
          </w:tcPr>
          <w:p>
            <w:pPr>
              <w:spacing w:after="0"/>
            </w:pPr>
            <w:r>
              <w:rPr>
                <w:rFonts w:ascii="Calibri" w:hAnsi="Calibri"/>
                <w:b/>
                <w:color w:val="163A5A"/>
              </w:rPr>
              <w:t xml:space="preserve">Non-negotiable audio rule: </w:t>
            </w:r>
            <w:r>
              <w:rPr>
                <w:rFonts w:ascii="Calibri" w:hAnsi="Calibri"/>
              </w:rPr>
              <w:t>The client-supplied audio is the narrative and timing source of truth. H3 may receive audio as a reference where useful, but any audio generated by H3 is experimental output only and must be discarded.</w:t>
            </w:r>
          </w:p>
        </w:tc>
      </w:tr>
    </w:tbl>
    <w:p>
      <w:pPr>
        <w:spacing w:after="0"/>
      </w:pPr>
    </w:p>
    <w:p>
      <w:pPr>
        <w:pStyle w:val="ListBullet"/>
        <w:spacing w:after="80" w:line="264" w:lineRule="auto"/>
      </w:pPr>
      <w:r>
        <w:rPr>
          <w:rFonts w:ascii="Calibri" w:hAnsi="Calibri"/>
        </w:rPr>
        <w:t>Store the original uploaded audio unchanged and reference it by immutable asset ID.</w:t>
      </w:r>
    </w:p>
    <w:p>
      <w:pPr>
        <w:pStyle w:val="ListBullet"/>
        <w:spacing w:after="80" w:line="264" w:lineRule="auto"/>
      </w:pPr>
      <w:r>
        <w:rPr>
          <w:rFonts w:ascii="Calibri" w:hAnsi="Calibri"/>
        </w:rPr>
        <w:t>Normalize a separate working copy for analysis; never overwrite the source.</w:t>
      </w:r>
    </w:p>
    <w:p>
      <w:pPr>
        <w:pStyle w:val="ListBullet"/>
        <w:spacing w:after="80" w:line="264" w:lineRule="auto"/>
      </w:pPr>
      <w:r>
        <w:rPr>
          <w:rFonts w:ascii="Calibri" w:hAnsi="Calibri"/>
        </w:rPr>
        <w:t>Strip every audio stream from Runpod-generated media immediately after retrieval.</w:t>
      </w:r>
    </w:p>
    <w:p>
      <w:pPr>
        <w:pStyle w:val="ListBullet"/>
        <w:spacing w:after="80" w:line="264" w:lineRule="auto"/>
      </w:pPr>
      <w:r>
        <w:rPr>
          <w:rFonts w:ascii="Calibri" w:hAnsi="Calibri"/>
        </w:rPr>
        <w:t>Assemble the final comparison preview using only the original client audio. If a container-level transcode is required, it must not change wording, timing, pitch or add generated content.</w:t>
      </w:r>
    </w:p>
    <w:p>
      <w:pPr>
        <w:pStyle w:val="ListBullet"/>
        <w:spacing w:after="80" w:line="264" w:lineRule="auto"/>
      </w:pPr>
      <w:r>
        <w:rPr>
          <w:rFonts w:ascii="Calibri" w:hAnsi="Calibri"/>
        </w:rPr>
        <w:t>Record the original-audio asset ID in the final preview lineage and prove that no generated-audio asset was used.</w:t>
      </w:r>
    </w:p>
    <w:p>
      <w:pPr>
        <w:pStyle w:val="ListBullet"/>
        <w:spacing w:after="80" w:line="264" w:lineRule="auto"/>
      </w:pPr>
      <w:r>
        <w:rPr>
          <w:rFonts w:ascii="Calibri" w:hAnsi="Calibri"/>
        </w:rPr>
        <w:t>A single altered word, mantra, pronunciation or unintended generated voice is a critical benchmark failure.</w:t>
      </w:r>
    </w:p>
    <w:p>
      <w:pPr>
        <w:pStyle w:val="Heading1"/>
      </w:pPr>
      <w:r>
        <w:t>8. Benchmark dataset and execution plan</w:t>
      </w:r>
    </w:p>
    <w:p>
      <w:pPr>
        <w:pStyle w:val="Heading2"/>
      </w:pPr>
      <w:r>
        <w:t>8.1 Pilot dataset</w:t>
      </w:r>
    </w:p>
    <w:tbl>
      <w:tblPr>
        <w:tblStyle w:val="TableGrid"/>
        <w:tblW w:type="dxa" w:w="9360"/>
        <w:jc w:val="left"/>
        <w:tblLayout w:type="fixed"/>
        <w:tblLook w:firstColumn="1" w:firstRow="1" w:lastColumn="0" w:lastRow="0" w:noHBand="0" w:noVBand="1" w:val="04A0"/>
        <w:tblInd w:w="120" w:type="dxa"/>
      </w:tblPr>
      <w:tblGrid>
        <w:gridCol w:w="1100"/>
        <w:gridCol w:w="3900"/>
        <w:gridCol w:w="4360"/>
      </w:tblGrid>
      <w:tr>
        <w:trPr>
          <w:tblHeader w:val="true"/>
        </w:trPr>
        <w:tc>
          <w:tcPr>
            <w:tcW w:type="dxa" w:w="1100"/>
            <w:shd w:fill="F2F4F7"/>
            <w:vAlign w:val="center"/>
            <w:tcMar>
              <w:top w:w="80" w:type="dxa"/>
              <w:start w:w="120" w:type="dxa"/>
              <w:bottom w:w="80" w:type="dxa"/>
              <w:end w:w="120" w:type="dxa"/>
            </w:tcMar>
          </w:tcPr>
          <w:p>
            <w:pPr>
              <w:spacing w:after="0"/>
            </w:pPr>
            <w:r>
              <w:rPr>
                <w:rFonts w:ascii="Calibri" w:hAnsi="Calibri"/>
                <w:b/>
                <w:color w:val="163A5A"/>
                <w:sz w:val="17"/>
              </w:rPr>
              <w:t>Clip</w:t>
            </w:r>
          </w:p>
        </w:tc>
        <w:tc>
          <w:tcPr>
            <w:tcW w:type="dxa" w:w="3900"/>
            <w:shd w:fill="F2F4F7"/>
            <w:vAlign w:val="center"/>
            <w:tcMar>
              <w:top w:w="80" w:type="dxa"/>
              <w:start w:w="120" w:type="dxa"/>
              <w:bottom w:w="80" w:type="dxa"/>
              <w:end w:w="120" w:type="dxa"/>
            </w:tcMar>
          </w:tcPr>
          <w:p>
            <w:pPr>
              <w:spacing w:after="0"/>
            </w:pPr>
            <w:r>
              <w:rPr>
                <w:rFonts w:ascii="Calibri" w:hAnsi="Calibri"/>
                <w:b/>
                <w:color w:val="163A5A"/>
                <w:sz w:val="17"/>
              </w:rPr>
              <w:t>Recommended content</w:t>
            </w:r>
          </w:p>
        </w:tc>
        <w:tc>
          <w:tcPr>
            <w:tcW w:type="dxa" w:w="4360"/>
            <w:shd w:fill="F2F4F7"/>
            <w:vAlign w:val="center"/>
            <w:tcMar>
              <w:top w:w="80" w:type="dxa"/>
              <w:start w:w="120" w:type="dxa"/>
              <w:bottom w:w="80" w:type="dxa"/>
              <w:end w:w="120" w:type="dxa"/>
            </w:tcMar>
          </w:tcPr>
          <w:p>
            <w:pPr>
              <w:spacing w:after="0"/>
            </w:pPr>
            <w:r>
              <w:rPr>
                <w:rFonts w:ascii="Calibri" w:hAnsi="Calibri"/>
                <w:b/>
                <w:color w:val="163A5A"/>
                <w:sz w:val="17"/>
              </w:rPr>
              <w:t>Why included</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7"/>
              </w:rPr>
              <w:t>P1</w:t>
            </w:r>
          </w:p>
        </w:tc>
        <w:tc>
          <w:tcPr>
            <w:tcW w:type="dxa" w:w="3900"/>
            <w:vAlign w:val="top"/>
            <w:tcMar>
              <w:top w:w="80" w:type="dxa"/>
              <w:start w:w="120" w:type="dxa"/>
              <w:bottom w:w="80" w:type="dxa"/>
              <w:end w:w="120" w:type="dxa"/>
            </w:tcMar>
          </w:tcPr>
          <w:p>
            <w:pPr>
              <w:spacing w:after="0" w:line="252" w:lineRule="auto"/>
            </w:pPr>
            <w:r>
              <w:rPr>
                <w:rFonts w:ascii="Calibri" w:hAnsi="Calibri"/>
                <w:color w:val="000000"/>
                <w:sz w:val="17"/>
              </w:rPr>
              <w:t>Clear mythological narration with 5-7 visual beats</w:t>
            </w:r>
          </w:p>
        </w:tc>
        <w:tc>
          <w:tcPr>
            <w:tcW w:type="dxa" w:w="4360"/>
            <w:vAlign w:val="top"/>
            <w:tcMar>
              <w:top w:w="80" w:type="dxa"/>
              <w:start w:w="120" w:type="dxa"/>
              <w:bottom w:w="80" w:type="dxa"/>
              <w:end w:w="120" w:type="dxa"/>
            </w:tcMar>
          </w:tcPr>
          <w:p>
            <w:pPr>
              <w:spacing w:after="0" w:line="252" w:lineRule="auto"/>
            </w:pPr>
            <w:r>
              <w:rPr>
                <w:rFonts w:ascii="Calibri" w:hAnsi="Calibri"/>
                <w:color w:val="000000"/>
                <w:sz w:val="17"/>
              </w:rPr>
              <w:t>Tests semantic alignment, multi-shot continuity and deity consistency.</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7"/>
              </w:rPr>
              <w:t>P2</w:t>
            </w:r>
          </w:p>
        </w:tc>
        <w:tc>
          <w:tcPr>
            <w:tcW w:type="dxa" w:w="3900"/>
            <w:vAlign w:val="top"/>
            <w:tcMar>
              <w:top w:w="80" w:type="dxa"/>
              <w:start w:w="120" w:type="dxa"/>
              <w:bottom w:w="80" w:type="dxa"/>
              <w:end w:w="120" w:type="dxa"/>
            </w:tcMar>
          </w:tcPr>
          <w:p>
            <w:pPr>
              <w:spacing w:after="0" w:line="252" w:lineRule="auto"/>
            </w:pPr>
            <w:r>
              <w:rPr>
                <w:rFonts w:ascii="Calibri" w:hAnsi="Calibri"/>
                <w:color w:val="000000"/>
                <w:sz w:val="17"/>
              </w:rPr>
              <w:t>Mantra or devotional quote with restrained visual motion</w:t>
            </w:r>
          </w:p>
        </w:tc>
        <w:tc>
          <w:tcPr>
            <w:tcW w:type="dxa" w:w="4360"/>
            <w:vAlign w:val="top"/>
            <w:tcMar>
              <w:top w:w="80" w:type="dxa"/>
              <w:start w:w="120" w:type="dxa"/>
              <w:bottom w:w="80" w:type="dxa"/>
              <w:end w:w="120" w:type="dxa"/>
            </w:tcMar>
          </w:tcPr>
          <w:p>
            <w:pPr>
              <w:spacing w:after="0" w:line="252" w:lineRule="auto"/>
            </w:pPr>
            <w:r>
              <w:rPr>
                <w:rFonts w:ascii="Calibri" w:hAnsi="Calibri"/>
                <w:color w:val="000000"/>
                <w:sz w:val="17"/>
              </w:rPr>
              <w:t>Tests whether self-hosted H3 adds value over economical motion.</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7"/>
              </w:rPr>
              <w:t>P3</w:t>
            </w:r>
          </w:p>
        </w:tc>
        <w:tc>
          <w:tcPr>
            <w:tcW w:type="dxa" w:w="3900"/>
            <w:vAlign w:val="top"/>
            <w:tcMar>
              <w:top w:w="80" w:type="dxa"/>
              <w:start w:w="120" w:type="dxa"/>
              <w:bottom w:w="80" w:type="dxa"/>
              <w:end w:w="120" w:type="dxa"/>
            </w:tcMar>
          </w:tcPr>
          <w:p>
            <w:pPr>
              <w:spacing w:after="0" w:line="252" w:lineRule="auto"/>
            </w:pPr>
            <w:r>
              <w:rPr>
                <w:rFonts w:ascii="Calibri" w:hAnsi="Calibri"/>
                <w:color w:val="000000"/>
                <w:sz w:val="17"/>
              </w:rPr>
              <w:t>Action-oriented bhajan/story segment</w:t>
            </w:r>
          </w:p>
        </w:tc>
        <w:tc>
          <w:tcPr>
            <w:tcW w:type="dxa" w:w="4360"/>
            <w:vAlign w:val="top"/>
            <w:tcMar>
              <w:top w:w="80" w:type="dxa"/>
              <w:start w:w="120" w:type="dxa"/>
              <w:bottom w:w="80" w:type="dxa"/>
              <w:end w:w="120" w:type="dxa"/>
            </w:tcMar>
          </w:tcPr>
          <w:p>
            <w:pPr>
              <w:spacing w:after="0" w:line="252" w:lineRule="auto"/>
            </w:pPr>
            <w:r>
              <w:rPr>
                <w:rFonts w:ascii="Calibri" w:hAnsi="Calibri"/>
                <w:color w:val="000000"/>
                <w:sz w:val="17"/>
              </w:rPr>
              <w:t>Tests difficult motion, prompt adherence, seed scouting and rejection rate.</w:t>
            </w:r>
          </w:p>
        </w:tc>
      </w:tr>
    </w:tbl>
    <w:p>
      <w:pPr>
        <w:spacing w:after="0"/>
      </w:pPr>
    </w:p>
    <w:p>
      <w:r>
        <w:t>Each clip should target approximately 20-40 seconds and use the same locked audio-to-shot plan already produced by Requirements Document 2. The dataset must include approved god profiles and reference images before generation begins.</w:t>
      </w:r>
    </w:p>
    <w:p>
      <w:r>
        <w:br w:type="page"/>
      </w:r>
    </w:p>
    <w:p>
      <w:pPr>
        <w:pStyle w:val="Heading2"/>
      </w:pPr>
      <w:r>
        <w:t>8.2 Execution sequence</w:t>
      </w:r>
    </w:p>
    <w:p>
      <w:pPr>
        <w:pStyle w:val="ListNumber"/>
        <w:spacing w:after="80" w:line="264" w:lineRule="auto"/>
      </w:pPr>
      <w:r>
        <w:rPr>
          <w:rFonts w:ascii="Calibri" w:hAnsi="Calibri"/>
        </w:rPr>
        <w:t>Create and freeze benchmark dataset version 1, including audio, transcripts, god profiles, references, shots, prompts and evaluation rubric.</w:t>
      </w:r>
    </w:p>
    <w:p>
      <w:pPr>
        <w:pStyle w:val="ListNumber"/>
        <w:spacing w:after="80" w:line="264" w:lineRule="auto"/>
      </w:pPr>
      <w:r>
        <w:rPr>
          <w:rFonts w:ascii="Calibri" w:hAnsi="Calibri"/>
        </w:rPr>
        <w:t>Run an installation smoke test and one short, non-scored generation.</w:t>
      </w:r>
    </w:p>
    <w:p>
      <w:pPr>
        <w:pStyle w:val="ListNumber"/>
        <w:spacing w:after="80" w:line="264" w:lineRule="auto"/>
      </w:pPr>
      <w:r>
        <w:rPr>
          <w:rFonts w:ascii="Calibri" w:hAnsi="Calibri"/>
        </w:rPr>
        <w:t>Generate all three clips through Variant A, B and C. Randomize displayed variant labels for blind quality review.</w:t>
      </w:r>
    </w:p>
    <w:p>
      <w:pPr>
        <w:pStyle w:val="ListNumber"/>
        <w:spacing w:after="80" w:line="264" w:lineRule="auto"/>
      </w:pPr>
      <w:r>
        <w:rPr>
          <w:rFonts w:ascii="Calibri" w:hAnsi="Calibri"/>
        </w:rPr>
        <w:t>Allow only technical retries during the first comparison. Do not improve one variant's creative input after seeing another variant's output.</w:t>
      </w:r>
    </w:p>
    <w:p>
      <w:pPr>
        <w:pStyle w:val="ListNumber"/>
        <w:spacing w:after="80" w:line="264" w:lineRule="auto"/>
      </w:pPr>
      <w:r>
        <w:rPr>
          <w:rFonts w:ascii="Calibri" w:hAnsi="Calibri"/>
        </w:rPr>
        <w:t>Record QA failures and perform one standardized repair attempt per failed shot to measure repair efficiency.</w:t>
      </w:r>
    </w:p>
    <w:p>
      <w:pPr>
        <w:pStyle w:val="ListNumber"/>
        <w:spacing w:after="80" w:line="264" w:lineRule="auto"/>
      </w:pPr>
      <w:r>
        <w:rPr>
          <w:rFonts w:ascii="Calibri" w:hAnsi="Calibri"/>
        </w:rPr>
        <w:t>Attach the original audio, render comparison previews and conduct technical plus human evaluation.</w:t>
      </w:r>
    </w:p>
    <w:p>
      <w:pPr>
        <w:pStyle w:val="ListNumber"/>
        <w:spacing w:after="80" w:line="264" w:lineRule="auto"/>
      </w:pPr>
      <w:r>
        <w:rPr>
          <w:rFonts w:ascii="Calibri" w:hAnsi="Calibri"/>
        </w:rPr>
        <w:t>Calculate metrics, document defects and issue the final adoption recommendation.</w:t>
      </w:r>
    </w:p>
    <w:p>
      <w:pPr>
        <w:pStyle w:val="Heading1"/>
      </w:pPr>
      <w:r>
        <w:t>9. Evaluation framework</w:t>
      </w:r>
    </w:p>
    <w:p>
      <w:pPr>
        <w:pStyle w:val="Heading2"/>
      </w:pPr>
      <w:r>
        <w:t>9.1 Quality scorecard</w:t>
      </w:r>
    </w:p>
    <w:tbl>
      <w:tblPr>
        <w:tblStyle w:val="TableGrid"/>
        <w:tblW w:type="dxa" w:w="9360"/>
        <w:jc w:val="left"/>
        <w:tblLayout w:type="fixed"/>
        <w:tblLook w:firstColumn="1" w:firstRow="1" w:lastColumn="0" w:lastRow="0" w:noHBand="0" w:noVBand="1" w:val="04A0"/>
        <w:tblInd w:w="120" w:type="dxa"/>
      </w:tblPr>
      <w:tblGrid>
        <w:gridCol w:w="2600"/>
        <w:gridCol w:w="1000"/>
        <w:gridCol w:w="5760"/>
      </w:tblGrid>
      <w:tr>
        <w:trPr>
          <w:tblHeader w:val="true"/>
        </w:trPr>
        <w:tc>
          <w:tcPr>
            <w:tcW w:type="dxa" w:w="2600"/>
            <w:shd w:fill="F2F4F7"/>
            <w:vAlign w:val="center"/>
            <w:tcMar>
              <w:top w:w="80" w:type="dxa"/>
              <w:start w:w="120" w:type="dxa"/>
              <w:bottom w:w="80" w:type="dxa"/>
              <w:end w:w="120" w:type="dxa"/>
            </w:tcMar>
          </w:tcPr>
          <w:p>
            <w:pPr>
              <w:spacing w:after="0"/>
            </w:pPr>
            <w:r>
              <w:rPr>
                <w:rFonts w:ascii="Calibri" w:hAnsi="Calibri"/>
                <w:b/>
                <w:color w:val="163A5A"/>
                <w:sz w:val="17"/>
              </w:rPr>
              <w:t>Dimension</w:t>
            </w:r>
          </w:p>
        </w:tc>
        <w:tc>
          <w:tcPr>
            <w:tcW w:type="dxa" w:w="1000"/>
            <w:shd w:fill="F2F4F7"/>
            <w:vAlign w:val="center"/>
            <w:tcMar>
              <w:top w:w="80" w:type="dxa"/>
              <w:start w:w="120" w:type="dxa"/>
              <w:bottom w:w="80" w:type="dxa"/>
              <w:end w:w="120" w:type="dxa"/>
            </w:tcMar>
          </w:tcPr>
          <w:p>
            <w:pPr>
              <w:spacing w:after="0"/>
            </w:pPr>
            <w:r>
              <w:rPr>
                <w:rFonts w:ascii="Calibri" w:hAnsi="Calibri"/>
                <w:b/>
                <w:color w:val="163A5A"/>
                <w:sz w:val="17"/>
              </w:rPr>
              <w:t>Weight</w:t>
            </w:r>
          </w:p>
        </w:tc>
        <w:tc>
          <w:tcPr>
            <w:tcW w:type="dxa" w:w="5760"/>
            <w:shd w:fill="F2F4F7"/>
            <w:vAlign w:val="center"/>
            <w:tcMar>
              <w:top w:w="80" w:type="dxa"/>
              <w:start w:w="120" w:type="dxa"/>
              <w:bottom w:w="80" w:type="dxa"/>
              <w:end w:w="120" w:type="dxa"/>
            </w:tcMar>
          </w:tcPr>
          <w:p>
            <w:pPr>
              <w:spacing w:after="0"/>
            </w:pPr>
            <w:r>
              <w:rPr>
                <w:rFonts w:ascii="Calibri" w:hAnsi="Calibri"/>
                <w:b/>
                <w:color w:val="163A5A"/>
                <w:sz w:val="17"/>
              </w:rPr>
              <w:t>Scoring guidance</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God/character consistency</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20%</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Face, body, costume, iconography and references remain stable.</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Audio-to-visual alignment</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15%</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The visual meaning and shot changes align with the locked soundtrack.</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Prompt and action adherence</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15%</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Subject, action, start/end state and camera intent are achieved.</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Motion and artifact quality</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15%</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Motion is credible; no anatomy, morphing, flicker or physics defects.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Chunk/shot continuity</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15%</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No missing CUTs, duplicated content, abrupt identity changes or visible seams.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Religious/iconographic correctness</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10%</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Depiction follows the approved God Profile and prohibited rules.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7"/>
              </w:rPr>
              <w:t>Composition and editability</w:t>
            </w:r>
          </w:p>
        </w:tc>
        <w:tc>
          <w:tcPr>
            <w:tcW w:type="dxa" w:w="1000"/>
            <w:vAlign w:val="top"/>
            <w:tcMar>
              <w:top w:w="80" w:type="dxa"/>
              <w:start w:w="120" w:type="dxa"/>
              <w:bottom w:w="80" w:type="dxa"/>
              <w:end w:w="120" w:type="dxa"/>
            </w:tcMar>
          </w:tcPr>
          <w:p>
            <w:pPr>
              <w:spacing w:after="0" w:line="252" w:lineRule="auto"/>
            </w:pPr>
            <w:r>
              <w:rPr>
                <w:rFonts w:ascii="Calibri" w:hAnsi="Calibri"/>
                <w:color w:val="000000"/>
                <w:sz w:val="17"/>
              </w:rPr>
              <w:t>10%</w:t>
            </w:r>
          </w:p>
        </w:tc>
        <w:tc>
          <w:tcPr>
            <w:tcW w:type="dxa" w:w="5760"/>
            <w:vAlign w:val="top"/>
            <w:tcMar>
              <w:top w:w="80" w:type="dxa"/>
              <w:start w:w="120" w:type="dxa"/>
              <w:bottom w:w="80" w:type="dxa"/>
              <w:end w:w="120" w:type="dxa"/>
            </w:tcMar>
          </w:tcPr>
          <w:p>
            <w:pPr>
              <w:spacing w:after="0" w:line="252" w:lineRule="auto"/>
            </w:pPr>
            <w:r>
              <w:rPr>
                <w:rFonts w:ascii="Calibri" w:hAnsi="Calibri"/>
                <w:color w:val="000000"/>
                <w:sz w:val="17"/>
              </w:rPr>
              <w:t>Vertical framing, subtitle/logo safe areas and trim points are usable.</w:t>
            </w:r>
          </w:p>
        </w:tc>
      </w:tr>
    </w:tbl>
    <w:p>
      <w:pPr>
        <w:spacing w:after="0"/>
      </w:pPr>
    </w:p>
    <w:p>
      <w:pPr>
        <w:pStyle w:val="Heading2"/>
      </w:pPr>
      <w:r>
        <w:t>9.2 Operational metrics</w:t>
      </w:r>
    </w:p>
    <w:tbl>
      <w:tblPr>
        <w:tblStyle w:val="TableGrid"/>
        <w:tblW w:type="dxa" w:w="9360"/>
        <w:jc w:val="left"/>
        <w:tblLayout w:type="fixed"/>
        <w:tblLook w:firstColumn="1" w:firstRow="1" w:lastColumn="0" w:lastRow="0" w:noHBand="0" w:noVBand="1" w:val="04A0"/>
        <w:tblInd w:w="120" w:type="dxa"/>
      </w:tblPr>
      <w:tblGrid>
        <w:gridCol w:w="2800"/>
        <w:gridCol w:w="6560"/>
      </w:tblGrid>
      <w:tr>
        <w:trPr>
          <w:tblHeader w:val="true"/>
        </w:trPr>
        <w:tc>
          <w:tcPr>
            <w:tcW w:type="dxa" w:w="2800"/>
            <w:shd w:fill="F2F4F7"/>
            <w:vAlign w:val="center"/>
            <w:tcMar>
              <w:top w:w="80" w:type="dxa"/>
              <w:start w:w="120" w:type="dxa"/>
              <w:bottom w:w="80" w:type="dxa"/>
              <w:end w:w="120" w:type="dxa"/>
            </w:tcMar>
          </w:tcPr>
          <w:p>
            <w:pPr>
              <w:spacing w:after="0"/>
            </w:pPr>
            <w:r>
              <w:rPr>
                <w:rFonts w:ascii="Calibri" w:hAnsi="Calibri"/>
                <w:b/>
                <w:color w:val="163A5A"/>
                <w:sz w:val="17"/>
              </w:rPr>
              <w:t>Metric</w:t>
            </w:r>
          </w:p>
        </w:tc>
        <w:tc>
          <w:tcPr>
            <w:tcW w:type="dxa" w:w="6560"/>
            <w:shd w:fill="F2F4F7"/>
            <w:vAlign w:val="center"/>
            <w:tcMar>
              <w:top w:w="80" w:type="dxa"/>
              <w:start w:w="120" w:type="dxa"/>
              <w:bottom w:w="80" w:type="dxa"/>
              <w:end w:w="120" w:type="dxa"/>
            </w:tcMar>
          </w:tcPr>
          <w:p>
            <w:pPr>
              <w:spacing w:after="0"/>
            </w:pPr>
            <w:r>
              <w:rPr>
                <w:rFonts w:ascii="Calibri" w:hAnsi="Calibri"/>
                <w:b/>
                <w:color w:val="163A5A"/>
                <w:sz w:val="17"/>
              </w:rPr>
              <w:t>Calculation / capture</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Accepted-shot rate</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Approved final shots divided by total generated attempts.</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Rejected-shot rate</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Rejected generated attempts divided by total generated attempts.</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Cost per approved second</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API charges plus active and idle GPU spend divided by approved output seconds.</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Attempts per approved shot</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All candidates and retries divided by approved shots.</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Wall time per approved shot</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Elapsed time from submission to accepted asset, including queue and model load.</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Human correction effort</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Reviewer and operator minutes spent per completed clip.</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Reliability</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Succeeded jobs divided by submitted jobs, excluding intentional cancellations.</w:t>
            </w:r>
          </w:p>
        </w:tc>
      </w:tr>
      <w:tr>
        <w:trPr>
          <w:cantSplit/>
        </w:trPr>
        <w:tc>
          <w:tcPr>
            <w:tcW w:type="dxa" w:w="2800"/>
            <w:vAlign w:val="top"/>
            <w:tcMar>
              <w:top w:w="80" w:type="dxa"/>
              <w:start w:w="120" w:type="dxa"/>
              <w:bottom w:w="80" w:type="dxa"/>
              <w:end w:w="120" w:type="dxa"/>
            </w:tcMar>
          </w:tcPr>
          <w:p>
            <w:pPr>
              <w:spacing w:after="0" w:line="252" w:lineRule="auto"/>
            </w:pPr>
            <w:r>
              <w:rPr>
                <w:rFonts w:ascii="Calibri" w:hAnsi="Calibri"/>
                <w:color w:val="000000"/>
                <w:sz w:val="17"/>
              </w:rPr>
              <w:t>Continuity defect rate</w:t>
            </w:r>
          </w:p>
        </w:tc>
        <w:tc>
          <w:tcPr>
            <w:tcW w:type="dxa" w:w="6560"/>
            <w:vAlign w:val="top"/>
            <w:tcMar>
              <w:top w:w="80" w:type="dxa"/>
              <w:start w:w="120" w:type="dxa"/>
              <w:bottom w:w="80" w:type="dxa"/>
              <w:end w:w="120" w:type="dxa"/>
            </w:tcMar>
          </w:tcPr>
          <w:p>
            <w:pPr>
              <w:spacing w:after="0" w:line="252" w:lineRule="auto"/>
            </w:pPr>
            <w:r>
              <w:rPr>
                <w:rFonts w:ascii="Calibri" w:hAnsi="Calibri"/>
                <w:color w:val="000000"/>
                <w:sz w:val="17"/>
              </w:rPr>
              <w:t>Shots with seam, order, duplication or cross-chunk continuity defects divided by evaluated shots.</w:t>
            </w:r>
          </w:p>
        </w:tc>
      </w:tr>
    </w:tbl>
    <w:p>
      <w:pPr>
        <w:spacing w:after="0"/>
      </w:pPr>
    </w:p>
    <w:p>
      <w:pPr>
        <w:pStyle w:val="Heading2"/>
      </w:pPr>
      <w:r>
        <w:t>9.3 Adoption gate</w:t>
      </w:r>
    </w:p>
    <w:tbl>
      <w:tblPr>
        <w:tblStyle w:val="TableGrid"/>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start w:w="120" w:type="dxa"/>
              <w:bottom w:w="80" w:type="dxa"/>
              <w:end w:w="120" w:type="dxa"/>
            </w:tcMar>
            <w:shd w:fill="E7F3EC"/>
          </w:tcPr>
          <w:p>
            <w:pPr>
              <w:spacing w:after="0"/>
            </w:pPr>
            <w:r>
              <w:rPr>
                <w:rFonts w:ascii="Calibri" w:hAnsi="Calibri"/>
                <w:b/>
                <w:color w:val="163A5A"/>
              </w:rPr>
              <w:t xml:space="preserve">Primary go/no-go threshold: </w:t>
            </w:r>
            <w:r>
              <w:rPr>
                <w:rFonts w:ascii="Calibri" w:hAnsi="Calibri"/>
              </w:rPr>
              <w:t>Recommend production adoption only if Runpod delivers at least 20% fewer rejected shots OR at least 30% lower total cost per approved second than FAL, while weighted quality is not lower and no critical safety, audio or religious-content failure occurs.</w:t>
            </w:r>
          </w:p>
        </w:tc>
      </w:tr>
    </w:tbl>
    <w:p>
      <w:pPr>
        <w:spacing w:after="0"/>
      </w:pPr>
    </w:p>
    <w:tbl>
      <w:tblPr>
        <w:tblStyle w:val="TableGrid"/>
        <w:tblW w:type="dxa" w:w="9360"/>
        <w:jc w:val="left"/>
        <w:tblLayout w:type="fixed"/>
        <w:tblLook w:firstColumn="1" w:firstRow="1" w:lastColumn="0" w:lastRow="0" w:noHBand="0" w:noVBand="1" w:val="04A0"/>
        <w:tblInd w:w="120" w:type="dxa"/>
      </w:tblPr>
      <w:tblGrid>
        <w:gridCol w:w="1900"/>
        <w:gridCol w:w="7460"/>
      </w:tblGrid>
      <w:tr>
        <w:trPr>
          <w:tblHeader w:val="true"/>
        </w:trPr>
        <w:tc>
          <w:tcPr>
            <w:tcW w:type="dxa" w:w="1900"/>
            <w:shd w:fill="F2F4F7"/>
            <w:vAlign w:val="center"/>
            <w:tcMar>
              <w:top w:w="80" w:type="dxa"/>
              <w:start w:w="120" w:type="dxa"/>
              <w:bottom w:w="80" w:type="dxa"/>
              <w:end w:w="120" w:type="dxa"/>
            </w:tcMar>
          </w:tcPr>
          <w:p>
            <w:pPr>
              <w:spacing w:after="0"/>
            </w:pPr>
            <w:r>
              <w:rPr>
                <w:rFonts w:ascii="Calibri" w:hAnsi="Calibri"/>
                <w:b/>
                <w:color w:val="163A5A"/>
                <w:sz w:val="17"/>
              </w:rPr>
              <w:t>Decision</w:t>
            </w:r>
          </w:p>
        </w:tc>
        <w:tc>
          <w:tcPr>
            <w:tcW w:type="dxa" w:w="7460"/>
            <w:shd w:fill="F2F4F7"/>
            <w:vAlign w:val="center"/>
            <w:tcMar>
              <w:top w:w="80" w:type="dxa"/>
              <w:start w:w="120" w:type="dxa"/>
              <w:bottom w:w="80" w:type="dxa"/>
              <w:end w:w="120" w:type="dxa"/>
            </w:tcMar>
          </w:tcPr>
          <w:p>
            <w:pPr>
              <w:spacing w:after="0"/>
            </w:pPr>
            <w:r>
              <w:rPr>
                <w:rFonts w:ascii="Calibri" w:hAnsi="Calibri"/>
                <w:b/>
                <w:color w:val="163A5A"/>
                <w:sz w:val="17"/>
              </w:rPr>
              <w:t>Condition</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7"/>
              </w:rPr>
              <w:t>Adopt</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7"/>
              </w:rPr>
              <w:t>Primary threshold met; reliability &gt;= 95% for scored runs; no critical failure; operational support is acceptable.</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7"/>
              </w:rPr>
              <w:t>Retain experimental</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7"/>
              </w:rPr>
              <w:t>Promising quality feature is demonstrated, but economic or reliability threshold is not yet proven. Keep behind feature flag for further tests.</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7"/>
              </w:rPr>
              <w:t>Reject</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7"/>
              </w:rPr>
              <w:t>Threshold not met, critical failure occurs, multi-chunk mapping is unreliable, or support/licence risk outweighs benefit.</w:t>
            </w:r>
          </w:p>
        </w:tc>
      </w:tr>
    </w:tbl>
    <w:p>
      <w:pPr>
        <w:spacing w:after="0"/>
      </w:pPr>
    </w:p>
    <w:p>
      <w:pPr>
        <w:pStyle w:val="Heading1"/>
      </w:pPr>
      <w:r>
        <w:t>10. User interface changes</w:t>
      </w:r>
    </w:p>
    <w:p>
      <w:r>
        <w:t>Only internal benchmark controls are required. The client upload experience remains audio plus god name.</w:t>
      </w:r>
    </w:p>
    <w:tbl>
      <w:tblPr>
        <w:tblStyle w:val="TableGrid"/>
        <w:tblW w:type="dxa" w:w="9360"/>
        <w:jc w:val="left"/>
        <w:tblLayout w:type="fixed"/>
        <w:tblLook w:firstColumn="1" w:firstRow="1" w:lastColumn="0" w:lastRow="0" w:noHBand="0" w:noVBand="1" w:val="04A0"/>
        <w:tblInd w:w="120" w:type="dxa"/>
      </w:tblPr>
      <w:tblGrid>
        <w:gridCol w:w="2200"/>
        <w:gridCol w:w="71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7"/>
              </w:rPr>
              <w:t>Surface</w:t>
            </w:r>
          </w:p>
        </w:tc>
        <w:tc>
          <w:tcPr>
            <w:tcW w:type="dxa" w:w="7160"/>
            <w:shd w:fill="F2F4F7"/>
            <w:vAlign w:val="center"/>
            <w:tcMar>
              <w:top w:w="80" w:type="dxa"/>
              <w:start w:w="120" w:type="dxa"/>
              <w:bottom w:w="80" w:type="dxa"/>
              <w:end w:w="120" w:type="dxa"/>
            </w:tcMar>
          </w:tcPr>
          <w:p>
            <w:pPr>
              <w:spacing w:after="0"/>
            </w:pPr>
            <w:r>
              <w:rPr>
                <w:rFonts w:ascii="Calibri" w:hAnsi="Calibri"/>
                <w:b/>
                <w:color w:val="163A5A"/>
                <w:sz w:val="17"/>
              </w:rPr>
              <w:t>Required addition</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Clip details</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7"/>
              </w:rPr>
              <w:t>Internal Run Benchmark action available only for approved pilot clips.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Benchmark setup</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7"/>
              </w:rPr>
              <w:t>Variant selection, Runpod profile, seed/scout settings, spend cap and runtime limit.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Job monitor</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7"/>
              </w:rPr>
              <w:t>Environment health, queue state, current stage, elapsed time, GPU profile and cancellation.</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Comparison review</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7"/>
              </w:rPr>
              <w:t>Synchronized previews, hidden provider labels, rubric scores, issue tags and reviewer notes.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Benchmark report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7"/>
              </w:rPr>
              <w:t>Quality/cost metrics, defects, evidence links and Adopt/Experimental/Reject recommendation.</w:t>
            </w:r>
          </w:p>
        </w:tc>
      </w:tr>
    </w:tbl>
    <w:p>
      <w:pPr>
        <w:spacing w:after="0"/>
      </w:pPr>
    </w:p>
    <w:p>
      <w:r>
        <w:br w:type="page"/>
      </w:r>
    </w:p>
    <w:p>
      <w:pPr>
        <w:pStyle w:val="Heading1"/>
      </w:pPr>
      <w:r>
        <w:t>11. Data, security and observability</w:t>
      </w:r>
    </w:p>
    <w:p>
      <w:pPr>
        <w:pStyle w:val="Heading2"/>
      </w:pPr>
      <w:r>
        <w:t>11.1 Required benchmark records</w:t>
      </w:r>
    </w:p>
    <w:p>
      <w:pPr>
        <w:pStyle w:val="ListBullet"/>
        <w:spacing w:after="80" w:line="264" w:lineRule="auto"/>
      </w:pPr>
      <w:r>
        <w:rPr>
          <w:rFonts w:ascii="Calibri" w:hAnsi="Calibri"/>
        </w:rPr>
        <w:t>benchmark ID, dataset version, clip/shot/variant and attempt</w:t>
      </w:r>
    </w:p>
    <w:p>
      <w:pPr>
        <w:pStyle w:val="ListBullet"/>
        <w:spacing w:after="80" w:line="264" w:lineRule="auto"/>
      </w:pPr>
      <w:r>
        <w:rPr>
          <w:rFonts w:ascii="Calibri" w:hAnsi="Calibri"/>
        </w:rPr>
        <w:t>provider route, endpoint/profile, repository commit, workflow version and container image</w:t>
      </w:r>
    </w:p>
    <w:p>
      <w:pPr>
        <w:pStyle w:val="ListBullet"/>
        <w:spacing w:after="80" w:line="264" w:lineRule="auto"/>
      </w:pPr>
      <w:r>
        <w:rPr>
          <w:rFonts w:ascii="Calibri" w:hAnsi="Calibri"/>
        </w:rPr>
        <w:t>GPU type, active seconds, pod lifecycle timestamps and billed cost</w:t>
      </w:r>
    </w:p>
    <w:p>
      <w:pPr>
        <w:pStyle w:val="ListBullet"/>
        <w:spacing w:after="80" w:line="264" w:lineRule="auto"/>
      </w:pPr>
      <w:r>
        <w:rPr>
          <w:rFonts w:ascii="Calibri" w:hAnsi="Calibri"/>
        </w:rPr>
        <w:t>compiled prompt, ordered references, seeds, sampling and refinement parameters</w:t>
      </w:r>
    </w:p>
    <w:p>
      <w:pPr>
        <w:pStyle w:val="ListBullet"/>
        <w:spacing w:after="80" w:line="264" w:lineRule="auto"/>
      </w:pPr>
      <w:r>
        <w:rPr>
          <w:rFonts w:ascii="Calibri" w:hAnsi="Calibri"/>
        </w:rPr>
        <w:t>normalized job state, raw failure category and retry decision</w:t>
      </w:r>
    </w:p>
    <w:p>
      <w:pPr>
        <w:pStyle w:val="ListBullet"/>
        <w:spacing w:after="80" w:line="264" w:lineRule="auto"/>
      </w:pPr>
      <w:r>
        <w:rPr>
          <w:rFonts w:ascii="Calibri" w:hAnsi="Calibri"/>
        </w:rPr>
        <w:t>generated assets, stripped-audio evidence, final comparison preview and original-audio lineage</w:t>
      </w:r>
    </w:p>
    <w:p>
      <w:pPr>
        <w:pStyle w:val="ListBullet"/>
        <w:spacing w:after="80" w:line="264" w:lineRule="auto"/>
      </w:pPr>
      <w:r>
        <w:rPr>
          <w:rFonts w:ascii="Calibri" w:hAnsi="Calibri"/>
        </w:rPr>
        <w:t>automated QA results, human rubric scores, review time and acceptance outcome</w:t>
      </w:r>
    </w:p>
    <w:p>
      <w:pPr>
        <w:pStyle w:val="Heading2"/>
      </w:pPr>
      <w:r>
        <w:t>11.2 Security and operational controls</w:t>
      </w:r>
    </w:p>
    <w:p>
      <w:pPr>
        <w:pStyle w:val="ListBullet"/>
        <w:spacing w:after="80" w:line="264" w:lineRule="auto"/>
      </w:pPr>
      <w:r>
        <w:rPr>
          <w:rFonts w:ascii="Calibri" w:hAnsi="Calibri"/>
        </w:rPr>
        <w:t>Store Runpod credentials only in the existing server-side secret-management path; never return them to the browser or logs.</w:t>
      </w:r>
    </w:p>
    <w:p>
      <w:pPr>
        <w:pStyle w:val="ListBullet"/>
        <w:spacing w:after="80" w:line="264" w:lineRule="auto"/>
      </w:pPr>
      <w:r>
        <w:rPr>
          <w:rFonts w:ascii="Calibri" w:hAnsi="Calibri"/>
        </w:rPr>
        <w:t>Use authenticated network access and a least-privilege token for the benchmark worker.</w:t>
      </w:r>
    </w:p>
    <w:p>
      <w:pPr>
        <w:pStyle w:val="ListBullet"/>
        <w:spacing w:after="80" w:line="264" w:lineRule="auto"/>
      </w:pPr>
      <w:r>
        <w:rPr>
          <w:rFonts w:ascii="Calibri" w:hAnsi="Calibri"/>
        </w:rPr>
        <w:t>Redact signed storage URLs, prompts containing private client information and secrets from normal application logs.</w:t>
      </w:r>
    </w:p>
    <w:p>
      <w:pPr>
        <w:pStyle w:val="ListBullet"/>
        <w:spacing w:after="80" w:line="264" w:lineRule="auto"/>
      </w:pPr>
      <w:r>
        <w:rPr>
          <w:rFonts w:ascii="Calibri" w:hAnsi="Calibri"/>
        </w:rPr>
        <w:t>Apply maximum queue depth, per-job runtime, retry count, storage size and total benchmark-spend limits.</w:t>
      </w:r>
    </w:p>
    <w:p>
      <w:pPr>
        <w:pStyle w:val="ListBullet"/>
        <w:spacing w:after="80" w:line="264" w:lineRule="auto"/>
      </w:pPr>
      <w:r>
        <w:rPr>
          <w:rFonts w:ascii="Calibri" w:hAnsi="Calibri"/>
        </w:rPr>
        <w:t>Stop or scale the pod to zero after the benchmark window; include idle time until shutdown in cost reporting.</w:t>
      </w:r>
    </w:p>
    <w:p>
      <w:pPr>
        <w:pStyle w:val="ListBullet"/>
        <w:spacing w:after="80" w:line="264" w:lineRule="auto"/>
      </w:pPr>
      <w:r>
        <w:rPr>
          <w:rFonts w:ascii="Calibri" w:hAnsi="Calibri"/>
        </w:rPr>
        <w:t>Retain logs and outputs long enough for comparison and defect analysis, then apply the existing media-retention policy.</w:t>
      </w:r>
    </w:p>
    <w:p>
      <w:pPr>
        <w:pStyle w:val="Heading1"/>
      </w:pPr>
      <w:r>
        <w:t>12. Acceptance criteria</w:t>
      </w:r>
    </w:p>
    <w:tbl>
      <w:tblPr>
        <w:tblStyle w:val="TableGrid"/>
        <w:tblW w:type="dxa" w:w="9360"/>
        <w:jc w:val="left"/>
        <w:tblLayout w:type="fixed"/>
        <w:tblLook w:firstColumn="1" w:firstRow="1" w:lastColumn="0" w:lastRow="0" w:noHBand="0" w:noVBand="1" w:val="04A0"/>
        <w:tblInd w:w="120" w:type="dxa"/>
      </w:tblPr>
      <w:tblGrid>
        <w:gridCol w:w="1400"/>
        <w:gridCol w:w="7960"/>
      </w:tblGrid>
      <w:tr>
        <w:trPr>
          <w:tblHeader w:val="true"/>
        </w:trPr>
        <w:tc>
          <w:tcPr>
            <w:tcW w:type="dxa" w:w="1400"/>
            <w:shd w:fill="F2F4F7"/>
            <w:vAlign w:val="center"/>
            <w:tcMar>
              <w:top w:w="80" w:type="dxa"/>
              <w:start w:w="120" w:type="dxa"/>
              <w:bottom w:w="80" w:type="dxa"/>
              <w:end w:w="120" w:type="dxa"/>
            </w:tcMar>
          </w:tcPr>
          <w:p>
            <w:pPr>
              <w:spacing w:after="0"/>
            </w:pPr>
            <w:r>
              <w:rPr>
                <w:rFonts w:ascii="Calibri" w:hAnsi="Calibri"/>
                <w:b/>
                <w:color w:val="163A5A"/>
                <w:sz w:val="17"/>
              </w:rPr>
              <w:t>ID</w:t>
            </w:r>
          </w:p>
        </w:tc>
        <w:tc>
          <w:tcPr>
            <w:tcW w:type="dxa" w:w="7960"/>
            <w:shd w:fill="F2F4F7"/>
            <w:vAlign w:val="center"/>
            <w:tcMar>
              <w:top w:w="80" w:type="dxa"/>
              <w:start w:w="120" w:type="dxa"/>
              <w:bottom w:w="80" w:type="dxa"/>
              <w:end w:w="120" w:type="dxa"/>
            </w:tcMar>
          </w:tcPr>
          <w:p>
            <w:pPr>
              <w:spacing w:after="0"/>
            </w:pPr>
            <w:r>
              <w:rPr>
                <w:rFonts w:ascii="Calibri" w:hAnsi="Calibri"/>
                <w:b/>
                <w:color w:val="163A5A"/>
                <w:sz w:val="17"/>
              </w:rPr>
              <w:t>Acceptance criterion</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AC-01</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A pinned Runpod environment passes startup, model-load and one-shot smoke tests.</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AC-02</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H3DirectorAdapter supports submit, status, result, cancellation, health and normalized failure handling.</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AC-03</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The same three frozen datasets run through Variant A, B and C with traceable parameters.</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AC-04</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Single and multi-chunk CUT mapping tests show no missing, duplicated or reordered planned CUTs.</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AC-05</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Every final comparison preview uses only the original client audio; generated audio is absent.</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AC-06</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Every output records commit, workflow, seed, GPU, timing, attempts, active/idle cost and asset lineage.</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AC-07</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Reviewers can score randomized variants without seeing provider identity.</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AC-08</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The report calculates all defined quality and operational metrics using auditable raw data.</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AC-09</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Feature flag disablement returns all normal jobs to the existing route without data loss or redeployment.</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AC-10</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The final report issues an evidence-backed Adopt, Retain as Experimental, or Reject recommendation.</w:t>
            </w:r>
          </w:p>
        </w:tc>
      </w:tr>
      <w:tr>
        <w:trPr>
          <w:cantSplit/>
        </w:trPr>
        <w:tc>
          <w:tcPr>
            <w:tcW w:type="dxa" w:w="1400"/>
            <w:vAlign w:val="top"/>
            <w:tcMar>
              <w:top w:w="80" w:type="dxa"/>
              <w:start w:w="120" w:type="dxa"/>
              <w:bottom w:w="80" w:type="dxa"/>
              <w:end w:w="120" w:type="dxa"/>
            </w:tcMar>
          </w:tcPr>
          <w:p>
            <w:pPr>
              <w:spacing w:after="0" w:line="252" w:lineRule="auto"/>
            </w:pPr>
            <w:r>
              <w:rPr>
                <w:rFonts w:ascii="Calibri" w:hAnsi="Calibri"/>
                <w:color w:val="000000"/>
                <w:sz w:val="17"/>
              </w:rPr>
              <w:t>AC-11</w:t>
            </w:r>
          </w:p>
        </w:tc>
        <w:tc>
          <w:tcPr>
            <w:tcW w:type="dxa" w:w="7960"/>
            <w:vAlign w:val="top"/>
            <w:tcMar>
              <w:top w:w="80" w:type="dxa"/>
              <w:start w:w="120" w:type="dxa"/>
              <w:bottom w:w="80" w:type="dxa"/>
              <w:end w:w="120" w:type="dxa"/>
            </w:tcMar>
          </w:tcPr>
          <w:p>
            <w:pPr>
              <w:spacing w:after="0" w:line="252" w:lineRule="auto"/>
            </w:pPr>
            <w:r>
              <w:rPr>
                <w:rFonts w:ascii="Calibri" w:hAnsi="Calibri"/>
                <w:color w:val="000000"/>
                <w:sz w:val="17"/>
              </w:rPr>
              <w:t>No benchmark result automatically changes production routing for the remaining 70-clip workflow.</w:t>
            </w:r>
          </w:p>
        </w:tc>
      </w:tr>
    </w:tbl>
    <w:p>
      <w:pPr>
        <w:spacing w:after="0"/>
      </w:pPr>
    </w:p>
    <w:p>
      <w:pPr>
        <w:pStyle w:val="Heading1"/>
      </w:pPr>
      <w:r>
        <w:t>13. Test cases</w:t>
      </w:r>
    </w:p>
    <w:tbl>
      <w:tblPr>
        <w:tblStyle w:val="TableGrid"/>
        <w:tblW w:type="dxa" w:w="9360"/>
        <w:jc w:val="left"/>
        <w:tblLayout w:type="fixed"/>
        <w:tblLook w:firstColumn="1" w:firstRow="1" w:lastColumn="0" w:lastRow="0" w:noHBand="0" w:noVBand="1" w:val="04A0"/>
        <w:tblInd w:w="120" w:type="dxa"/>
      </w:tblPr>
      <w:tblGrid>
        <w:gridCol w:w="2850"/>
        <w:gridCol w:w="6510"/>
      </w:tblGrid>
      <w:tr>
        <w:trPr>
          <w:tblHeader w:val="true"/>
        </w:trPr>
        <w:tc>
          <w:tcPr>
            <w:tcW w:type="dxa" w:w="2850"/>
            <w:shd w:fill="F2F4F7"/>
            <w:vAlign w:val="center"/>
            <w:tcMar>
              <w:top w:w="80" w:type="dxa"/>
              <w:start w:w="120" w:type="dxa"/>
              <w:bottom w:w="80" w:type="dxa"/>
              <w:end w:w="120" w:type="dxa"/>
            </w:tcMar>
          </w:tcPr>
          <w:p>
            <w:pPr>
              <w:spacing w:after="0"/>
            </w:pPr>
            <w:r>
              <w:rPr>
                <w:rFonts w:ascii="Calibri" w:hAnsi="Calibri"/>
                <w:b/>
                <w:color w:val="163A5A"/>
                <w:sz w:val="17"/>
              </w:rPr>
              <w:t>Test</w:t>
            </w:r>
          </w:p>
        </w:tc>
        <w:tc>
          <w:tcPr>
            <w:tcW w:type="dxa" w:w="6510"/>
            <w:shd w:fill="F2F4F7"/>
            <w:vAlign w:val="center"/>
            <w:tcMar>
              <w:top w:w="80" w:type="dxa"/>
              <w:start w:w="120" w:type="dxa"/>
              <w:bottom w:w="80" w:type="dxa"/>
              <w:end w:w="120" w:type="dxa"/>
            </w:tcMar>
          </w:tcPr>
          <w:p>
            <w:pPr>
              <w:spacing w:after="0"/>
            </w:pPr>
            <w:r>
              <w:rPr>
                <w:rFonts w:ascii="Calibri" w:hAnsi="Calibri"/>
                <w:b/>
                <w:color w:val="163A5A"/>
                <w:sz w:val="17"/>
              </w:rPr>
              <w:t>Expected result</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Environment unavailable</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Job remains queued or fails with a normalized retryable environment error; no duplicate generation.</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Model load/OOM failure</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Run stops, captures GPU/profile evidence and does not begin the scored benchmark.</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Duplicate submission</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Idempotency returns the existing benchmark job instead of starting a second GPU run.</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Multi-chunk timeline</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CUT count, order, durations and chunk boundaries reconcile to the locked shot plan.</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Seed scouting</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Scout candidates and selected seed are recorded; only selected candidate enters full refinement.</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Generated audio present</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Normalization strips all generated audio streams; failure to do so blocks the output.</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Mid-job pod restart</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External orchestration retains state and either resumes safely or produces one clear terminal failure.</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Spend/runtime cap</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New or active work stops according to policy, and partial artifacts remain traceable.</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Feature flag off</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Runpod route cannot receive new jobs; normal FAL production remains available.</w:t>
            </w:r>
          </w:p>
        </w:tc>
      </w:tr>
      <w:tr>
        <w:trPr>
          <w:cantSplit/>
        </w:trPr>
        <w:tc>
          <w:tcPr>
            <w:tcW w:type="dxa" w:w="2850"/>
            <w:vAlign w:val="top"/>
            <w:tcMar>
              <w:top w:w="80" w:type="dxa"/>
              <w:start w:w="120" w:type="dxa"/>
              <w:bottom w:w="80" w:type="dxa"/>
              <w:end w:w="120" w:type="dxa"/>
            </w:tcMar>
          </w:tcPr>
          <w:p>
            <w:pPr>
              <w:spacing w:after="0" w:line="252" w:lineRule="auto"/>
            </w:pPr>
            <w:r>
              <w:rPr>
                <w:rFonts w:ascii="Calibri" w:hAnsi="Calibri"/>
                <w:color w:val="000000"/>
                <w:sz w:val="17"/>
              </w:rPr>
              <w:t>Blind review</w:t>
            </w:r>
          </w:p>
        </w:tc>
        <w:tc>
          <w:tcPr>
            <w:tcW w:type="dxa" w:w="6510"/>
            <w:vAlign w:val="top"/>
            <w:tcMar>
              <w:top w:w="80" w:type="dxa"/>
              <w:start w:w="120" w:type="dxa"/>
              <w:bottom w:w="80" w:type="dxa"/>
              <w:end w:w="120" w:type="dxa"/>
            </w:tcMar>
          </w:tcPr>
          <w:p>
            <w:pPr>
              <w:spacing w:after="0" w:line="252" w:lineRule="auto"/>
            </w:pPr>
            <w:r>
              <w:rPr>
                <w:rFonts w:ascii="Calibri" w:hAnsi="Calibri"/>
                <w:color w:val="000000"/>
                <w:sz w:val="17"/>
              </w:rPr>
              <w:t>Reviewer sees synchronized outputs and rubric but not provider/variant identity until submission.</w:t>
            </w:r>
          </w:p>
        </w:tc>
      </w:tr>
    </w:tbl>
    <w:p>
      <w:pPr>
        <w:spacing w:after="0"/>
      </w:pPr>
    </w:p>
    <w:p>
      <w:pPr>
        <w:pStyle w:val="Heading1"/>
      </w:pPr>
      <w:r>
        <w:t>14. Rollout, rollback and deliverables</w:t>
      </w:r>
    </w:p>
    <w:p>
      <w:pPr>
        <w:pStyle w:val="Heading2"/>
      </w:pPr>
      <w:r>
        <w:t>14.1 Rollout</w:t>
      </w:r>
    </w:p>
    <w:p>
      <w:pPr>
        <w:pStyle w:val="ListBullet"/>
        <w:spacing w:after="80" w:line="264" w:lineRule="auto"/>
      </w:pPr>
      <w:r>
        <w:rPr>
          <w:rFonts w:ascii="Calibri" w:hAnsi="Calibri"/>
          <w:b/>
        </w:rPr>
        <w:t>Phase 1 - Environment proof:</w:t>
      </w:r>
      <w:r>
        <w:rPr>
          <w:rFonts w:ascii="Calibri" w:hAnsi="Calibri"/>
        </w:rPr>
        <w:t xml:space="preserve"> install pinned stack, run health checks and produce one short non-scored clip.</w:t>
      </w:r>
    </w:p>
    <w:p>
      <w:pPr>
        <w:pStyle w:val="ListBullet"/>
        <w:spacing w:after="80" w:line="264" w:lineRule="auto"/>
      </w:pPr>
      <w:r>
        <w:rPr>
          <w:rFonts w:ascii="Calibri" w:hAnsi="Calibri"/>
          <w:b/>
        </w:rPr>
        <w:t>Phase 2 - Adapter proof:</w:t>
      </w:r>
      <w:r>
        <w:rPr>
          <w:rFonts w:ascii="Calibri" w:hAnsi="Calibri"/>
        </w:rPr>
        <w:t xml:space="preserve"> exercise job lifecycle, failure handling, asset normalization and audio stripping.</w:t>
      </w:r>
    </w:p>
    <w:p>
      <w:pPr>
        <w:pStyle w:val="ListBullet"/>
        <w:spacing w:after="80" w:line="264" w:lineRule="auto"/>
      </w:pPr>
      <w:r>
        <w:rPr>
          <w:rFonts w:ascii="Calibri" w:hAnsi="Calibri"/>
          <w:b/>
        </w:rPr>
        <w:t>Phase 3 - Controlled benchmark:</w:t>
      </w:r>
      <w:r>
        <w:rPr>
          <w:rFonts w:ascii="Calibri" w:hAnsi="Calibri"/>
        </w:rPr>
        <w:t xml:space="preserve"> execute the nine primary clip/variant combinations and standardized repair attempts.</w:t>
      </w:r>
    </w:p>
    <w:p>
      <w:pPr>
        <w:pStyle w:val="ListBullet"/>
        <w:spacing w:after="80" w:line="264" w:lineRule="auto"/>
      </w:pPr>
      <w:r>
        <w:rPr>
          <w:rFonts w:ascii="Calibri" w:hAnsi="Calibri"/>
          <w:b/>
        </w:rPr>
        <w:t>Phase 4 - Evaluation:</w:t>
      </w:r>
      <w:r>
        <w:rPr>
          <w:rFonts w:ascii="Calibri" w:hAnsi="Calibri"/>
        </w:rPr>
        <w:t xml:space="preserve"> complete blind review, metric calculations, defect analysis and cost reconciliation.</w:t>
      </w:r>
    </w:p>
    <w:p>
      <w:pPr>
        <w:pStyle w:val="ListBullet"/>
        <w:spacing w:after="80" w:line="264" w:lineRule="auto"/>
      </w:pPr>
      <w:r>
        <w:rPr>
          <w:rFonts w:ascii="Calibri" w:hAnsi="Calibri"/>
          <w:b/>
        </w:rPr>
        <w:t>Phase 5 - Decision:</w:t>
      </w:r>
      <w:r>
        <w:rPr>
          <w:rFonts w:ascii="Calibri" w:hAnsi="Calibri"/>
        </w:rPr>
        <w:t xml:space="preserve"> approve adoption, keep experimental, or close the CR without production change.</w:t>
      </w:r>
    </w:p>
    <w:p>
      <w:r>
        <w:br w:type="page"/>
      </w:r>
    </w:p>
    <w:p>
      <w:pPr>
        <w:pStyle w:val="Heading2"/>
      </w:pPr>
      <w:r>
        <w:t>14.2 Rollback</w:t>
      </w:r>
    </w:p>
    <w:p>
      <w:r>
        <w:t>Rollback consists of disabling the H3 Director feature flag, cancelling queued benchmark jobs, stopping the Runpod pod, retaining benchmark evidence according to policy and continuing all normal generation through the existing provider routes. No database rollback should be required because benchmark records are additive and isolated.</w:t>
      </w:r>
    </w:p>
    <w:p>
      <w:pPr>
        <w:pStyle w:val="Heading2"/>
      </w:pPr>
      <w:r>
        <w:t>14.3 Required deliverables</w:t>
      </w:r>
    </w:p>
    <w:p>
      <w:pPr>
        <w:pStyle w:val="ListBullet"/>
        <w:spacing w:after="80" w:line="264" w:lineRule="auto"/>
      </w:pPr>
      <w:r>
        <w:rPr>
          <w:rFonts w:ascii="Calibri" w:hAnsi="Calibri"/>
        </w:rPr>
        <w:t>Pinned Runpod image/template and documented environment profile</w:t>
      </w:r>
    </w:p>
    <w:p>
      <w:pPr>
        <w:pStyle w:val="ListBullet"/>
        <w:spacing w:after="80" w:line="264" w:lineRule="auto"/>
      </w:pPr>
      <w:r>
        <w:rPr>
          <w:rFonts w:ascii="Calibri" w:hAnsi="Calibri"/>
        </w:rPr>
        <w:t>H3DirectorAdapter implementation and normalized job-state mapping</w:t>
      </w:r>
    </w:p>
    <w:p>
      <w:pPr>
        <w:pStyle w:val="ListBullet"/>
        <w:spacing w:after="80" w:line="264" w:lineRule="auto"/>
      </w:pPr>
      <w:r>
        <w:rPr>
          <w:rFonts w:ascii="Calibri" w:hAnsi="Calibri"/>
        </w:rPr>
        <w:t>Frozen three-clip benchmark dataset and evaluation rubric</w:t>
      </w:r>
    </w:p>
    <w:p>
      <w:pPr>
        <w:pStyle w:val="ListBullet"/>
        <w:spacing w:after="80" w:line="264" w:lineRule="auto"/>
      </w:pPr>
      <w:r>
        <w:rPr>
          <w:rFonts w:ascii="Calibri" w:hAnsi="Calibri"/>
        </w:rPr>
        <w:t>Nine primary comparison previews plus retained evidence and run logs</w:t>
      </w:r>
    </w:p>
    <w:p>
      <w:pPr>
        <w:pStyle w:val="ListBullet"/>
        <w:spacing w:after="80" w:line="264" w:lineRule="auto"/>
      </w:pPr>
      <w:r>
        <w:rPr>
          <w:rFonts w:ascii="Calibri" w:hAnsi="Calibri"/>
        </w:rPr>
        <w:t>Cost, quality, reliability and human-effort comparison report</w:t>
      </w:r>
    </w:p>
    <w:p>
      <w:pPr>
        <w:pStyle w:val="ListBullet"/>
        <w:spacing w:after="80" w:line="264" w:lineRule="auto"/>
      </w:pPr>
      <w:r>
        <w:rPr>
          <w:rFonts w:ascii="Calibri" w:hAnsi="Calibri"/>
        </w:rPr>
        <w:t>Defect list, including a dedicated multi-chunk CUT-mapping result</w:t>
      </w:r>
    </w:p>
    <w:p>
      <w:pPr>
        <w:pStyle w:val="ListBullet"/>
        <w:spacing w:after="80" w:line="264" w:lineRule="auto"/>
      </w:pPr>
      <w:r>
        <w:rPr>
          <w:rFonts w:ascii="Calibri" w:hAnsi="Calibri"/>
        </w:rPr>
        <w:t>Final Adopt, Retain as Experimental, or Reject recommendation</w:t>
      </w:r>
    </w:p>
    <w:p>
      <w:pPr>
        <w:pStyle w:val="Heading1"/>
      </w:pPr>
      <w:r>
        <w:t>15. Dependencies, risks and assumptions</w:t>
      </w:r>
    </w:p>
    <w:tbl>
      <w:tblPr>
        <w:tblStyle w:val="TableGrid"/>
        <w:tblW w:type="dxa" w:w="9360"/>
        <w:jc w:val="left"/>
        <w:tblLayout w:type="fixed"/>
        <w:tblLook w:firstColumn="1" w:firstRow="1" w:lastColumn="0" w:lastRow="0" w:noHBand="0" w:noVBand="1" w:val="04A0"/>
        <w:tblInd w:w="120" w:type="dxa"/>
      </w:tblPr>
      <w:tblGrid>
        <w:gridCol w:w="2300"/>
        <w:gridCol w:w="7060"/>
      </w:tblGrid>
      <w:tr>
        <w:trPr>
          <w:tblHeader w:val="true"/>
        </w:trPr>
        <w:tc>
          <w:tcPr>
            <w:tcW w:type="dxa" w:w="2300"/>
            <w:shd w:fill="F2F4F7"/>
            <w:vAlign w:val="center"/>
            <w:tcMar>
              <w:top w:w="80" w:type="dxa"/>
              <w:start w:w="120" w:type="dxa"/>
              <w:bottom w:w="80" w:type="dxa"/>
              <w:end w:w="120" w:type="dxa"/>
            </w:tcMar>
          </w:tcPr>
          <w:p>
            <w:pPr>
              <w:spacing w:after="0"/>
            </w:pPr>
            <w:r>
              <w:rPr>
                <w:rFonts w:ascii="Calibri" w:hAnsi="Calibri"/>
                <w:b/>
                <w:color w:val="163A5A"/>
                <w:sz w:val="17"/>
              </w:rPr>
              <w:t>Item</w:t>
            </w:r>
          </w:p>
        </w:tc>
        <w:tc>
          <w:tcPr>
            <w:tcW w:type="dxa" w:w="7060"/>
            <w:shd w:fill="F2F4F7"/>
            <w:vAlign w:val="center"/>
            <w:tcMar>
              <w:top w:w="80" w:type="dxa"/>
              <w:start w:w="120" w:type="dxa"/>
              <w:bottom w:w="80" w:type="dxa"/>
              <w:end w:w="120" w:type="dxa"/>
            </w:tcMar>
          </w:tcPr>
          <w:p>
            <w:pPr>
              <w:spacing w:after="0"/>
            </w:pPr>
            <w:r>
              <w:rPr>
                <w:rFonts w:ascii="Calibri" w:hAnsi="Calibri"/>
                <w:b/>
                <w:color w:val="163A5A"/>
                <w:sz w:val="17"/>
              </w:rPr>
              <w:t>Control / assumption</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Repository maturity</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Pin an evaluated commit and treat upstream updates as separate changes.</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Multi-chunk correctness</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Dedicated regression test is mandatory before scored multi-shot runs.</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Dependency drift</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Containerize and lock all Python, ComfyUI and media dependencies.</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GPU fit</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Prove model load and sample generation on the selected profile; retain configurable fallback profile.</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Cost comparison</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Include active GPU, idle/startup time, storage, retries and human correction; do not compare only headline rates.</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Model licence</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Internal benchmark approval does not automatically grant client-production approval. Complete territory and commercial-use review.</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Evaluation bias</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Randomize provider labels and use at least two qualified reviewers where practical.</w:t>
            </w:r>
          </w:p>
        </w:tc>
      </w:tr>
      <w:tr>
        <w:trPr>
          <w:cantSplit/>
        </w:trPr>
        <w:tc>
          <w:tcPr>
            <w:tcW w:type="dxa" w:w="2300"/>
            <w:vAlign w:val="top"/>
            <w:tcMar>
              <w:top w:w="80" w:type="dxa"/>
              <w:start w:w="120" w:type="dxa"/>
              <w:bottom w:w="80" w:type="dxa"/>
              <w:end w:w="120" w:type="dxa"/>
            </w:tcMar>
          </w:tcPr>
          <w:p>
            <w:pPr>
              <w:spacing w:after="0" w:line="252" w:lineRule="auto"/>
            </w:pPr>
            <w:r>
              <w:rPr>
                <w:rFonts w:ascii="Calibri" w:hAnsi="Calibri"/>
                <w:color w:val="000000"/>
                <w:sz w:val="17"/>
              </w:rPr>
              <w:t>Audio integrity</w:t>
            </w:r>
          </w:p>
        </w:tc>
        <w:tc>
          <w:tcPr>
            <w:tcW w:type="dxa" w:w="7060"/>
            <w:vAlign w:val="top"/>
            <w:tcMar>
              <w:top w:w="80" w:type="dxa"/>
              <w:start w:w="120" w:type="dxa"/>
              <w:bottom w:w="80" w:type="dxa"/>
              <w:end w:w="120" w:type="dxa"/>
            </w:tcMar>
          </w:tcPr>
          <w:p>
            <w:pPr>
              <w:spacing w:after="0" w:line="252" w:lineRule="auto"/>
            </w:pPr>
            <w:r>
              <w:rPr>
                <w:rFonts w:ascii="Calibri" w:hAnsi="Calibri"/>
                <w:color w:val="000000"/>
                <w:sz w:val="17"/>
              </w:rPr>
              <w:t>Treat any generated-audio leakage or alteration of religious wording as critical.</w:t>
            </w:r>
          </w:p>
        </w:tc>
      </w:tr>
    </w:tbl>
    <w:p>
      <w:pPr>
        <w:spacing w:after="0"/>
      </w:pPr>
    </w:p>
    <w:p>
      <w:r>
        <w:br w:type="page"/>
      </w:r>
    </w:p>
    <w:p>
      <w:pPr>
        <w:pStyle w:val="Heading1"/>
      </w:pPr>
      <w:r>
        <w:t>16. Planning estimate and approval</w:t>
      </w:r>
    </w:p>
    <w:tbl>
      <w:tblPr>
        <w:tblStyle w:val="TableGrid"/>
        <w:tblW w:type="dxa" w:w="9360"/>
        <w:jc w:val="left"/>
        <w:tblLayout w:type="fixed"/>
        <w:tblLook w:firstColumn="1" w:firstRow="1" w:lastColumn="0" w:lastRow="0" w:noHBand="0" w:noVBand="1" w:val="04A0"/>
        <w:tblInd w:w="120" w:type="dxa"/>
      </w:tblPr>
      <w:tblGrid>
        <w:gridCol w:w="4800"/>
        <w:gridCol w:w="4560"/>
      </w:tblGrid>
      <w:tr>
        <w:trPr>
          <w:tblHeader w:val="true"/>
        </w:trPr>
        <w:tc>
          <w:tcPr>
            <w:tcW w:type="dxa" w:w="4800"/>
            <w:shd w:fill="F2F4F7"/>
            <w:vAlign w:val="center"/>
            <w:tcMar>
              <w:top w:w="80" w:type="dxa"/>
              <w:start w:w="120" w:type="dxa"/>
              <w:bottom w:w="80" w:type="dxa"/>
              <w:end w:w="120" w:type="dxa"/>
            </w:tcMar>
          </w:tcPr>
          <w:p>
            <w:pPr>
              <w:spacing w:after="0"/>
            </w:pPr>
            <w:r>
              <w:rPr>
                <w:rFonts w:ascii="Calibri" w:hAnsi="Calibri"/>
                <w:b/>
                <w:color w:val="163A5A"/>
                <w:sz w:val="17"/>
              </w:rPr>
              <w:t>Work package</w:t>
            </w:r>
          </w:p>
        </w:tc>
        <w:tc>
          <w:tcPr>
            <w:tcW w:type="dxa" w:w="4560"/>
            <w:shd w:fill="F2F4F7"/>
            <w:vAlign w:val="center"/>
            <w:tcMar>
              <w:top w:w="80" w:type="dxa"/>
              <w:start w:w="120" w:type="dxa"/>
              <w:bottom w:w="80" w:type="dxa"/>
              <w:end w:w="120" w:type="dxa"/>
            </w:tcMar>
          </w:tcPr>
          <w:p>
            <w:pPr>
              <w:spacing w:after="0"/>
            </w:pPr>
            <w:r>
              <w:rPr>
                <w:rFonts w:ascii="Calibri" w:hAnsi="Calibri"/>
                <w:b/>
                <w:color w:val="163A5A"/>
                <w:sz w:val="17"/>
              </w:rPr>
              <w:t>Indicative effort</w:t>
            </w:r>
          </w:p>
        </w:tc>
      </w:tr>
      <w:tr>
        <w:trPr>
          <w:cantSplit/>
        </w:trPr>
        <w:tc>
          <w:tcPr>
            <w:tcW w:type="dxa" w:w="4800"/>
            <w:vAlign w:val="top"/>
            <w:tcMar>
              <w:top w:w="80" w:type="dxa"/>
              <w:start w:w="120" w:type="dxa"/>
              <w:bottom w:w="80" w:type="dxa"/>
              <w:end w:w="120" w:type="dxa"/>
            </w:tcMar>
          </w:tcPr>
          <w:p>
            <w:pPr>
              <w:spacing w:after="0" w:line="252" w:lineRule="auto"/>
            </w:pPr>
            <w:r>
              <w:rPr>
                <w:rFonts w:ascii="Calibri" w:hAnsi="Calibri"/>
                <w:color w:val="000000"/>
                <w:sz w:val="17"/>
              </w:rPr>
              <w:t>Runpod environment, pinned install and smoke test</w:t>
            </w:r>
          </w:p>
        </w:tc>
        <w:tc>
          <w:tcPr>
            <w:tcW w:type="dxa" w:w="4560"/>
            <w:vAlign w:val="top"/>
            <w:tcMar>
              <w:top w:w="80" w:type="dxa"/>
              <w:start w:w="120" w:type="dxa"/>
              <w:bottom w:w="80" w:type="dxa"/>
              <w:end w:w="120" w:type="dxa"/>
            </w:tcMar>
          </w:tcPr>
          <w:p>
            <w:pPr>
              <w:spacing w:after="0" w:line="252" w:lineRule="auto"/>
            </w:pPr>
            <w:r>
              <w:rPr>
                <w:rFonts w:ascii="Calibri" w:hAnsi="Calibri"/>
                <w:color w:val="000000"/>
                <w:sz w:val="17"/>
              </w:rPr>
              <w:t>1-2 engineering days, assuming existing H3 weights/template are reusable</w:t>
            </w:r>
          </w:p>
        </w:tc>
      </w:tr>
      <w:tr>
        <w:trPr>
          <w:cantSplit/>
        </w:trPr>
        <w:tc>
          <w:tcPr>
            <w:tcW w:type="dxa" w:w="4800"/>
            <w:vAlign w:val="top"/>
            <w:tcMar>
              <w:top w:w="80" w:type="dxa"/>
              <w:start w:w="120" w:type="dxa"/>
              <w:bottom w:w="80" w:type="dxa"/>
              <w:end w:w="120" w:type="dxa"/>
            </w:tcMar>
          </w:tcPr>
          <w:p>
            <w:pPr>
              <w:spacing w:after="0" w:line="252" w:lineRule="auto"/>
            </w:pPr>
            <w:r>
              <w:rPr>
                <w:rFonts w:ascii="Calibri" w:hAnsi="Calibri"/>
                <w:color w:val="000000"/>
                <w:sz w:val="17"/>
              </w:rPr>
              <w:t>Adapter, job lifecycle, feature flag and telemetry</w:t>
            </w:r>
          </w:p>
        </w:tc>
        <w:tc>
          <w:tcPr>
            <w:tcW w:type="dxa" w:w="4560"/>
            <w:vAlign w:val="top"/>
            <w:tcMar>
              <w:top w:w="80" w:type="dxa"/>
              <w:start w:w="120" w:type="dxa"/>
              <w:bottom w:w="80" w:type="dxa"/>
              <w:end w:w="120" w:type="dxa"/>
            </w:tcMar>
          </w:tcPr>
          <w:p>
            <w:pPr>
              <w:spacing w:after="0" w:line="252" w:lineRule="auto"/>
            </w:pPr>
            <w:r>
              <w:rPr>
                <w:rFonts w:ascii="Calibri" w:hAnsi="Calibri"/>
                <w:color w:val="000000"/>
                <w:sz w:val="17"/>
              </w:rPr>
              <w:t>2-4 engineering days</w:t>
            </w:r>
          </w:p>
        </w:tc>
      </w:tr>
      <w:tr>
        <w:trPr>
          <w:cantSplit/>
        </w:trPr>
        <w:tc>
          <w:tcPr>
            <w:tcW w:type="dxa" w:w="4800"/>
            <w:vAlign w:val="top"/>
            <w:tcMar>
              <w:top w:w="80" w:type="dxa"/>
              <w:start w:w="120" w:type="dxa"/>
              <w:bottom w:w="80" w:type="dxa"/>
              <w:end w:w="120" w:type="dxa"/>
            </w:tcMar>
          </w:tcPr>
          <w:p>
            <w:pPr>
              <w:spacing w:after="0" w:line="252" w:lineRule="auto"/>
            </w:pPr>
            <w:r>
              <w:rPr>
                <w:rFonts w:ascii="Calibri" w:hAnsi="Calibri"/>
                <w:color w:val="000000"/>
                <w:sz w:val="17"/>
              </w:rPr>
              <w:t>Benchmark UI/report and dataset freeze</w:t>
            </w:r>
          </w:p>
        </w:tc>
        <w:tc>
          <w:tcPr>
            <w:tcW w:type="dxa" w:w="4560"/>
            <w:vAlign w:val="top"/>
            <w:tcMar>
              <w:top w:w="80" w:type="dxa"/>
              <w:start w:w="120" w:type="dxa"/>
              <w:bottom w:w="80" w:type="dxa"/>
              <w:end w:w="120" w:type="dxa"/>
            </w:tcMar>
          </w:tcPr>
          <w:p>
            <w:pPr>
              <w:spacing w:after="0" w:line="252" w:lineRule="auto"/>
            </w:pPr>
            <w:r>
              <w:rPr>
                <w:rFonts w:ascii="Calibri" w:hAnsi="Calibri"/>
                <w:color w:val="000000"/>
                <w:sz w:val="17"/>
              </w:rPr>
              <w:t>1-2 engineering days</w:t>
            </w:r>
          </w:p>
        </w:tc>
      </w:tr>
      <w:tr>
        <w:trPr>
          <w:cantSplit/>
        </w:trPr>
        <w:tc>
          <w:tcPr>
            <w:tcW w:type="dxa" w:w="4800"/>
            <w:vAlign w:val="top"/>
            <w:tcMar>
              <w:top w:w="80" w:type="dxa"/>
              <w:start w:w="120" w:type="dxa"/>
              <w:bottom w:w="80" w:type="dxa"/>
              <w:end w:w="120" w:type="dxa"/>
            </w:tcMar>
          </w:tcPr>
          <w:p>
            <w:pPr>
              <w:spacing w:after="0" w:line="252" w:lineRule="auto"/>
            </w:pPr>
            <w:r>
              <w:rPr>
                <w:rFonts w:ascii="Calibri" w:hAnsi="Calibri"/>
                <w:color w:val="000000"/>
                <w:sz w:val="17"/>
              </w:rPr>
              <w:t>Nine scored runs, repairs and evaluation</w:t>
            </w:r>
          </w:p>
        </w:tc>
        <w:tc>
          <w:tcPr>
            <w:tcW w:type="dxa" w:w="4560"/>
            <w:vAlign w:val="top"/>
            <w:tcMar>
              <w:top w:w="80" w:type="dxa"/>
              <w:start w:w="120" w:type="dxa"/>
              <w:bottom w:w="80" w:type="dxa"/>
              <w:end w:w="120" w:type="dxa"/>
            </w:tcMar>
          </w:tcPr>
          <w:p>
            <w:pPr>
              <w:spacing w:after="0" w:line="252" w:lineRule="auto"/>
            </w:pPr>
            <w:r>
              <w:rPr>
                <w:rFonts w:ascii="Calibri" w:hAnsi="Calibri"/>
                <w:color w:val="000000"/>
                <w:sz w:val="17"/>
              </w:rPr>
              <w:t>1-3 elapsed days depending on GPU profile and queue</w:t>
            </w:r>
          </w:p>
        </w:tc>
      </w:tr>
      <w:tr>
        <w:trPr>
          <w:cantSplit/>
        </w:trPr>
        <w:tc>
          <w:tcPr>
            <w:tcW w:type="dxa" w:w="4800"/>
            <w:vAlign w:val="top"/>
            <w:tcMar>
              <w:top w:w="80" w:type="dxa"/>
              <w:start w:w="120" w:type="dxa"/>
              <w:bottom w:w="80" w:type="dxa"/>
              <w:end w:w="120" w:type="dxa"/>
            </w:tcMar>
          </w:tcPr>
          <w:p>
            <w:pPr>
              <w:spacing w:after="0" w:line="252" w:lineRule="auto"/>
            </w:pPr>
            <w:r>
              <w:rPr>
                <w:rFonts w:ascii="Calibri" w:hAnsi="Calibri"/>
                <w:color w:val="000000"/>
                <w:sz w:val="17"/>
              </w:rPr>
              <w:t>Defect correction and final recommendation</w:t>
            </w:r>
          </w:p>
        </w:tc>
        <w:tc>
          <w:tcPr>
            <w:tcW w:type="dxa" w:w="4560"/>
            <w:vAlign w:val="top"/>
            <w:tcMar>
              <w:top w:w="80" w:type="dxa"/>
              <w:start w:w="120" w:type="dxa"/>
              <w:bottom w:w="80" w:type="dxa"/>
              <w:end w:w="120" w:type="dxa"/>
            </w:tcMar>
          </w:tcPr>
          <w:p>
            <w:pPr>
              <w:spacing w:after="0" w:line="252" w:lineRule="auto"/>
            </w:pPr>
            <w:r>
              <w:rPr>
                <w:rFonts w:ascii="Calibri" w:hAnsi="Calibri"/>
                <w:color w:val="000000"/>
                <w:sz w:val="17"/>
              </w:rPr>
              <w:t>1-2 engineering days</w:t>
            </w:r>
          </w:p>
        </w:tc>
      </w:tr>
    </w:tbl>
    <w:p>
      <w:pPr>
        <w:spacing w:after="0"/>
      </w:pPr>
    </w:p>
    <w:p>
      <w:r>
        <w:t>The estimate is for a benchmark-quality implementation, not a production-scale self-hosted service. Production adoption, auto-scaling, capacity engineering and 70-clip cutover require a follow-on change only after this CR passes.</w:t>
      </w:r>
    </w:p>
    <w:tbl>
      <w:tblPr>
        <w:tblStyle w:val="TableGrid"/>
        <w:tblW w:type="dxa" w:w="9360"/>
        <w:jc w:val="left"/>
        <w:tblLayout w:type="fixed"/>
        <w:tblLook w:firstColumn="1" w:firstRow="1" w:lastColumn="0" w:lastRow="0" w:noHBand="0" w:noVBand="1" w:val="04A0"/>
        <w:tblInd w:w="120" w:type="dxa"/>
      </w:tblPr>
      <w:tblGrid>
        <w:gridCol w:w="2200"/>
        <w:gridCol w:w="4900"/>
        <w:gridCol w:w="22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7"/>
              </w:rPr>
              <w:t>Approval</w:t>
            </w:r>
          </w:p>
        </w:tc>
        <w:tc>
          <w:tcPr>
            <w:tcW w:type="dxa" w:w="4900"/>
            <w:shd w:fill="F2F4F7"/>
            <w:vAlign w:val="center"/>
            <w:tcMar>
              <w:top w:w="80" w:type="dxa"/>
              <w:start w:w="120" w:type="dxa"/>
              <w:bottom w:w="80" w:type="dxa"/>
              <w:end w:w="120" w:type="dxa"/>
            </w:tcMar>
          </w:tcPr>
          <w:p>
            <w:pPr>
              <w:spacing w:after="0"/>
            </w:pPr>
            <w:r>
              <w:rPr>
                <w:rFonts w:ascii="Calibri" w:hAnsi="Calibri"/>
                <w:b/>
                <w:color w:val="163A5A"/>
                <w:sz w:val="17"/>
              </w:rPr>
              <w:t>Name / decision</w:t>
            </w:r>
          </w:p>
        </w:tc>
        <w:tc>
          <w:tcPr>
            <w:tcW w:type="dxa" w:w="2260"/>
            <w:shd w:fill="F2F4F7"/>
            <w:vAlign w:val="center"/>
            <w:tcMar>
              <w:top w:w="80" w:type="dxa"/>
              <w:start w:w="120" w:type="dxa"/>
              <w:bottom w:w="80" w:type="dxa"/>
              <w:end w:w="120" w:type="dxa"/>
            </w:tcMar>
          </w:tcPr>
          <w:p>
            <w:pPr>
              <w:spacing w:after="0"/>
            </w:pPr>
            <w:r>
              <w:rPr>
                <w:rFonts w:ascii="Calibri" w:hAnsi="Calibri"/>
                <w:b/>
                <w:color w:val="163A5A"/>
                <w:sz w:val="17"/>
              </w:rPr>
              <w:t>Date</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Product owner</w:t>
            </w:r>
          </w:p>
        </w:tc>
        <w:tc>
          <w:tcPr>
            <w:tcW w:type="dxa" w:w="4900"/>
            <w:vAlign w:val="top"/>
            <w:tcMar>
              <w:top w:w="80" w:type="dxa"/>
              <w:start w:w="120" w:type="dxa"/>
              <w:bottom w:w="80" w:type="dxa"/>
              <w:end w:w="120" w:type="dxa"/>
            </w:tcMar>
          </w:tcPr>
          <w:p>
            <w:pPr>
              <w:spacing w:after="0" w:line="252" w:lineRule="auto"/>
            </w:pPr>
            <w:r>
              <w:rPr>
                <w:rFonts w:ascii="Calibri" w:hAnsi="Calibri"/>
                <w:color w:val="000000"/>
                <w:sz w:val="17"/>
              </w:rPr>
              <w:t>Pending</w:t>
            </w:r>
          </w:p>
        </w:tc>
        <w:tc>
          <w:tcPr>
            <w:tcW w:type="dxa" w:w="2260"/>
            <w:vAlign w:val="top"/>
            <w:tcMar>
              <w:top w:w="80" w:type="dxa"/>
              <w:start w:w="120" w:type="dxa"/>
              <w:bottom w:w="80" w:type="dxa"/>
              <w:end w:w="120" w:type="dxa"/>
            </w:tcMar>
          </w:tcPr>
          <w:p>
            <w:pPr>
              <w:spacing w:after="0" w:line="252" w:lineRule="auto"/>
            </w:pPr>
            <w:r>
              <w:rPr>
                <w:rFonts w:ascii="Calibri" w:hAnsi="Calibri"/>
                <w:color w:val="000000"/>
                <w:sz w:val="17"/>
              </w:rPr>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Engineering owner</w:t>
            </w:r>
          </w:p>
        </w:tc>
        <w:tc>
          <w:tcPr>
            <w:tcW w:type="dxa" w:w="4900"/>
            <w:vAlign w:val="top"/>
            <w:tcMar>
              <w:top w:w="80" w:type="dxa"/>
              <w:start w:w="120" w:type="dxa"/>
              <w:bottom w:w="80" w:type="dxa"/>
              <w:end w:w="120" w:type="dxa"/>
            </w:tcMar>
          </w:tcPr>
          <w:p>
            <w:pPr>
              <w:spacing w:after="0" w:line="252" w:lineRule="auto"/>
            </w:pPr>
            <w:r>
              <w:rPr>
                <w:rFonts w:ascii="Calibri" w:hAnsi="Calibri"/>
                <w:color w:val="000000"/>
                <w:sz w:val="17"/>
              </w:rPr>
              <w:t>Pending</w:t>
            </w:r>
          </w:p>
        </w:tc>
        <w:tc>
          <w:tcPr>
            <w:tcW w:type="dxa" w:w="2260"/>
            <w:vAlign w:val="top"/>
            <w:tcMar>
              <w:top w:w="80" w:type="dxa"/>
              <w:start w:w="120" w:type="dxa"/>
              <w:bottom w:w="80" w:type="dxa"/>
              <w:end w:w="120" w:type="dxa"/>
            </w:tcMar>
          </w:tcPr>
          <w:p>
            <w:pPr>
              <w:spacing w:after="0" w:line="252" w:lineRule="auto"/>
            </w:pPr>
            <w:r>
              <w:rPr>
                <w:rFonts w:ascii="Calibri" w:hAnsi="Calibri"/>
                <w:color w:val="000000"/>
                <w:sz w:val="17"/>
              </w:rPr>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AI/media operations</w:t>
            </w:r>
          </w:p>
        </w:tc>
        <w:tc>
          <w:tcPr>
            <w:tcW w:type="dxa" w:w="4900"/>
            <w:vAlign w:val="top"/>
            <w:tcMar>
              <w:top w:w="80" w:type="dxa"/>
              <w:start w:w="120" w:type="dxa"/>
              <w:bottom w:w="80" w:type="dxa"/>
              <w:end w:w="120" w:type="dxa"/>
            </w:tcMar>
          </w:tcPr>
          <w:p>
            <w:pPr>
              <w:spacing w:after="0" w:line="252" w:lineRule="auto"/>
            </w:pPr>
            <w:r>
              <w:rPr>
                <w:rFonts w:ascii="Calibri" w:hAnsi="Calibri"/>
                <w:color w:val="000000"/>
                <w:sz w:val="17"/>
              </w:rPr>
              <w:t>Pending</w:t>
            </w:r>
          </w:p>
        </w:tc>
        <w:tc>
          <w:tcPr>
            <w:tcW w:type="dxa" w:w="2260"/>
            <w:vAlign w:val="top"/>
            <w:tcMar>
              <w:top w:w="80" w:type="dxa"/>
              <w:start w:w="120" w:type="dxa"/>
              <w:bottom w:w="80" w:type="dxa"/>
              <w:end w:w="120" w:type="dxa"/>
            </w:tcMar>
          </w:tcPr>
          <w:p>
            <w:pPr>
              <w:spacing w:after="0" w:line="252" w:lineRule="auto"/>
            </w:pPr>
            <w:r>
              <w:rPr>
                <w:rFonts w:ascii="Calibri" w:hAnsi="Calibri"/>
                <w:color w:val="000000"/>
                <w:sz w:val="17"/>
              </w:rPr>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7"/>
              </w:rPr>
              <w:t>Security/licence review</w:t>
            </w:r>
          </w:p>
        </w:tc>
        <w:tc>
          <w:tcPr>
            <w:tcW w:type="dxa" w:w="4900"/>
            <w:vAlign w:val="top"/>
            <w:tcMar>
              <w:top w:w="80" w:type="dxa"/>
              <w:start w:w="120" w:type="dxa"/>
              <w:bottom w:w="80" w:type="dxa"/>
              <w:end w:w="120" w:type="dxa"/>
            </w:tcMar>
          </w:tcPr>
          <w:p>
            <w:pPr>
              <w:spacing w:after="0" w:line="252" w:lineRule="auto"/>
            </w:pPr>
            <w:r>
              <w:rPr>
                <w:rFonts w:ascii="Calibri" w:hAnsi="Calibri"/>
                <w:color w:val="000000"/>
                <w:sz w:val="17"/>
              </w:rPr>
              <w:t>Required before production adoption</w:t>
            </w:r>
          </w:p>
        </w:tc>
        <w:tc>
          <w:tcPr>
            <w:tcW w:type="dxa" w:w="2260"/>
            <w:vAlign w:val="top"/>
            <w:tcMar>
              <w:top w:w="80" w:type="dxa"/>
              <w:start w:w="120" w:type="dxa"/>
              <w:bottom w:w="80" w:type="dxa"/>
              <w:end w:w="120" w:type="dxa"/>
            </w:tcMar>
          </w:tcPr>
          <w:p>
            <w:pPr>
              <w:spacing w:after="0" w:line="252" w:lineRule="auto"/>
            </w:pPr>
            <w:r>
              <w:rPr>
                <w:rFonts w:ascii="Calibri" w:hAnsi="Calibri"/>
                <w:color w:val="000000"/>
                <w:sz w:val="17"/>
              </w:rPr>
            </w:r>
          </w:p>
        </w:tc>
      </w:tr>
    </w:tbl>
    <w:p>
      <w:pPr>
        <w:spacing w:after="0"/>
      </w:pPr>
    </w:p>
    <w:p>
      <w:pPr>
        <w:pStyle w:val="Heading1"/>
      </w:pPr>
      <w:r>
        <w:t>17. References</w:t>
      </w:r>
    </w:p>
    <w:p>
      <w:r>
        <w:t xml:space="preserve">Repository under test: </w:t>
      </w:r>
      <w:hyperlink r:id="rId12">
        <w:r>
          <w:rPr>
            <w:color w:val="1F4E79"/>
            <w:u w:val="single"/>
          </w:rPr>
          <w:t>MiniMaxH3-Director-V1.2</w:t>
        </w:r>
      </w:hyperlink>
    </w:p>
    <w:p>
      <w:r>
        <w:t xml:space="preserve">Related product baseline: </w:t>
      </w:r>
      <w:r>
        <w:rPr>
          <w:b/>
        </w:rPr>
        <w:t>Requirements Document 2 - Audio-Driven Batch Video Production</w:t>
      </w:r>
    </w:p>
    <w:p>
      <w:r>
        <w:t xml:space="preserve">Hosted comparison route: </w:t>
      </w:r>
      <w:hyperlink r:id="rId13">
        <w:r>
          <w:rPr>
            <w:color w:val="1F4E79"/>
            <w:u w:val="single"/>
          </w:rPr>
          <w:t>FAL MiniMax H3</w:t>
        </w:r>
      </w:hyperlink>
    </w:p>
    <w:p>
      <w:r>
        <w:t xml:space="preserve">Model-weight terms to review before production: </w:t>
      </w:r>
      <w:hyperlink r:id="rId14">
        <w:r>
          <w:rPr>
            <w:color w:val="1F4E79"/>
            <w:u w:val="single"/>
          </w:rPr>
          <w:t>MiniMax H3 licence</w:t>
        </w:r>
      </w:hyperlink>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right="216"/>
      <w:jc w:val="right"/>
    </w:pPr>
    <w:r>
      <w:rPr>
        <w:rFonts w:ascii="Calibri" w:hAnsi="Calibri"/>
        <w:color w:val="555555"/>
        <w:sz w:val="18"/>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555555"/>
        <w:sz w:val="17"/>
      </w:rPr>
      <w:t>AI Content Production | CR-REQ2-001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63A5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spacing w:after="160" w:line="280" w:lineRule="auto"/>
      <w:ind w:left="1080" w:hanging="360"/>
      <w:contextualSpacing/>
    </w:pPr>
    <w:rPr>
      <w:rFonts w:ascii="Calibri" w:hAnsi="Calibri"/>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github.com/muse-collective-26/MiniMaxH3-Director-V1.2" TargetMode="External"/><Relationship Id="rId13" Type="http://schemas.openxmlformats.org/officeDocument/2006/relationships/hyperlink" Target="https://fal.ai/minimax-h3" TargetMode="External"/><Relationship Id="rId14" Type="http://schemas.openxmlformats.org/officeDocument/2006/relationships/hyperlink" Target="https://huggingface.co/MiniMaxAI/MiniMax-H3/blob/main/LIC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CR-REQ2-001 - Runpod MiniMax H3 Director Benchmark</dc:title>
  <dc:subject>Change request for a controlled Runpod benchmark of MiniMaxH3 Director V1.2</dc:subject>
  <dc:creator>AI Content Production Team</dc:creator>
  <cp:keywords>Runpod, MiniMax H3, H3 Director, benchmark, Requirements 2, audio-driven video</cp:keywords>
  <dc:description>generated by python-docx</dc:description>
  <cp:lastModifiedBy/>
  <cp:revision>1</cp:revision>
  <dcterms:created xsi:type="dcterms:W3CDTF">2013-12-23T23:15:00Z</dcterms:created>
  <dcterms:modified xsi:type="dcterms:W3CDTF">2013-12-23T23:15:00Z</dcterms:modified>
  <cp:category/>
</cp:coreProperties>
</file>