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after="80"/>
      </w:pPr>
      <w:r>
        <w:rPr>
          <w:rFonts w:ascii="Calibri" w:hAnsi="Calibri"/>
          <w:b/>
          <w:color w:val="1F4E79"/>
          <w:sz w:val="20"/>
        </w:rPr>
        <w:t>PRODUCT REQUIREMENTS DOCUMENT</w:t>
      </w:r>
    </w:p>
    <w:p>
      <w:pPr>
        <w:spacing w:before="0" w:after="100"/>
      </w:pPr>
      <w:r>
        <w:rPr>
          <w:rFonts w:ascii="Calibri" w:hAnsi="Calibri"/>
          <w:b/>
          <w:color w:val="000000"/>
          <w:sz w:val="48"/>
        </w:rPr>
        <w:t>AI Content Production - Content Tab</w:t>
      </w:r>
    </w:p>
    <w:p>
      <w:pPr>
        <w:pStyle w:val="Subtitle"/>
      </w:pPr>
      <w:r>
        <w:t>Idea or short inspiration video to quality-checked, repairable video production</w:t>
      </w:r>
    </w:p>
    <w:tbl>
      <w:tblPr>
        <w:tblStyle w:val="TableGrid"/>
        <w:tblW w:type="dxa" w:w="9360"/>
        <w:jc w:val="left"/>
        <w:tblLayout w:type="fixed"/>
        <w:tblLook w:firstColumn="1" w:firstRow="1" w:lastColumn="0" w:lastRow="0" w:noHBand="0" w:noVBand="1" w:val="04A0"/>
        <w:tblInd w:w="120" w:type="dxa"/>
      </w:tblPr>
      <w:tblGrid>
        <w:gridCol w:w="1800"/>
        <w:gridCol w:w="7560"/>
      </w:tblGrid>
      <w:tr>
        <w:trPr>
          <w:tblHeader w:val="true"/>
        </w:trPr>
        <w:tc>
          <w:tcPr>
            <w:tcW w:type="dxa" w:w="1800"/>
            <w:shd w:fill="F2F4F7"/>
            <w:vAlign w:val="center"/>
            <w:tcMar>
              <w:top w:w="80" w:type="dxa"/>
              <w:start w:w="120" w:type="dxa"/>
              <w:bottom w:w="80" w:type="dxa"/>
              <w:end w:w="120" w:type="dxa"/>
            </w:tcMar>
          </w:tcPr>
          <w:p>
            <w:pPr>
              <w:spacing w:after="0"/>
            </w:pPr>
            <w:r>
              <w:rPr>
                <w:rFonts w:ascii="Calibri" w:hAnsi="Calibri"/>
                <w:b/>
                <w:color w:val="163A5A"/>
                <w:sz w:val="19"/>
              </w:rPr>
              <w:t>Field</w:t>
            </w:r>
          </w:p>
        </w:tc>
        <w:tc>
          <w:tcPr>
            <w:tcW w:type="dxa" w:w="7560"/>
            <w:shd w:fill="F2F4F7"/>
            <w:vAlign w:val="center"/>
            <w:tcMar>
              <w:top w:w="80" w:type="dxa"/>
              <w:start w:w="120" w:type="dxa"/>
              <w:bottom w:w="80" w:type="dxa"/>
              <w:end w:w="120" w:type="dxa"/>
            </w:tcMar>
          </w:tcPr>
          <w:p>
            <w:pPr>
              <w:spacing w:after="0"/>
            </w:pPr>
            <w:r>
              <w:rPr>
                <w:rFonts w:ascii="Calibri" w:hAnsi="Calibri"/>
                <w:b/>
                <w:color w:val="163A5A"/>
                <w:sz w:val="19"/>
              </w:rPr>
              <w:t>Value</w:t>
            </w:r>
          </w:p>
        </w:tc>
      </w:tr>
      <w:tr>
        <w:trPr>
          <w:cantSplit/>
        </w:trPr>
        <w:tc>
          <w:tcPr>
            <w:tcW w:type="dxa" w:w="1800"/>
            <w:vAlign w:val="top"/>
            <w:tcMar>
              <w:top w:w="80" w:type="dxa"/>
              <w:start w:w="120" w:type="dxa"/>
              <w:bottom w:w="80" w:type="dxa"/>
              <w:end w:w="120" w:type="dxa"/>
            </w:tcMar>
          </w:tcPr>
          <w:p>
            <w:pPr>
              <w:spacing w:after="0" w:line="252" w:lineRule="auto"/>
            </w:pPr>
            <w:r>
              <w:rPr>
                <w:rFonts w:ascii="Calibri" w:hAnsi="Calibri"/>
                <w:color w:val="000000"/>
                <w:sz w:val="19"/>
              </w:rPr>
              <w:t>Version</w:t>
            </w:r>
          </w:p>
        </w:tc>
        <w:tc>
          <w:tcPr>
            <w:tcW w:type="dxa" w:w="7560"/>
            <w:vAlign w:val="top"/>
            <w:tcMar>
              <w:top w:w="80" w:type="dxa"/>
              <w:start w:w="120" w:type="dxa"/>
              <w:bottom w:w="80" w:type="dxa"/>
              <w:end w:w="120" w:type="dxa"/>
            </w:tcMar>
          </w:tcPr>
          <w:p>
            <w:pPr>
              <w:spacing w:after="0" w:line="252" w:lineRule="auto"/>
            </w:pPr>
            <w:r>
              <w:rPr>
                <w:rFonts w:ascii="Calibri" w:hAnsi="Calibri"/>
                <w:color w:val="000000"/>
                <w:sz w:val="19"/>
              </w:rPr>
              <w:t>1.0</w:t>
            </w:r>
          </w:p>
        </w:tc>
      </w:tr>
      <w:tr>
        <w:trPr>
          <w:cantSplit/>
        </w:trPr>
        <w:tc>
          <w:tcPr>
            <w:tcW w:type="dxa" w:w="1800"/>
            <w:vAlign w:val="top"/>
            <w:tcMar>
              <w:top w:w="80" w:type="dxa"/>
              <w:start w:w="120" w:type="dxa"/>
              <w:bottom w:w="80" w:type="dxa"/>
              <w:end w:w="120" w:type="dxa"/>
            </w:tcMar>
          </w:tcPr>
          <w:p>
            <w:pPr>
              <w:spacing w:after="0" w:line="252" w:lineRule="auto"/>
            </w:pPr>
            <w:r>
              <w:rPr>
                <w:rFonts w:ascii="Calibri" w:hAnsi="Calibri"/>
                <w:color w:val="000000"/>
                <w:sz w:val="19"/>
              </w:rPr>
              <w:t>Date</w:t>
            </w:r>
          </w:p>
        </w:tc>
        <w:tc>
          <w:tcPr>
            <w:tcW w:type="dxa" w:w="7560"/>
            <w:vAlign w:val="top"/>
            <w:tcMar>
              <w:top w:w="80" w:type="dxa"/>
              <w:start w:w="120" w:type="dxa"/>
              <w:bottom w:w="80" w:type="dxa"/>
              <w:end w:w="120" w:type="dxa"/>
            </w:tcMar>
          </w:tcPr>
          <w:p>
            <w:pPr>
              <w:spacing w:after="0" w:line="252" w:lineRule="auto"/>
            </w:pPr>
            <w:r>
              <w:rPr>
                <w:rFonts w:ascii="Calibri" w:hAnsi="Calibri"/>
                <w:color w:val="000000"/>
                <w:sz w:val="19"/>
              </w:rPr>
              <w:t>25 August 2026</w:t>
            </w:r>
          </w:p>
        </w:tc>
      </w:tr>
      <w:tr>
        <w:trPr>
          <w:cantSplit/>
        </w:trPr>
        <w:tc>
          <w:tcPr>
            <w:tcW w:type="dxa" w:w="1800"/>
            <w:vAlign w:val="top"/>
            <w:tcMar>
              <w:top w:w="80" w:type="dxa"/>
              <w:start w:w="120" w:type="dxa"/>
              <w:bottom w:w="80" w:type="dxa"/>
              <w:end w:w="120" w:type="dxa"/>
            </w:tcMar>
          </w:tcPr>
          <w:p>
            <w:pPr>
              <w:spacing w:after="0" w:line="252" w:lineRule="auto"/>
            </w:pPr>
            <w:r>
              <w:rPr>
                <w:rFonts w:ascii="Calibri" w:hAnsi="Calibri"/>
                <w:color w:val="000000"/>
                <w:sz w:val="19"/>
              </w:rPr>
              <w:t>Status</w:t>
            </w:r>
          </w:p>
        </w:tc>
        <w:tc>
          <w:tcPr>
            <w:tcW w:type="dxa" w:w="7560"/>
            <w:vAlign w:val="top"/>
            <w:tcMar>
              <w:top w:w="80" w:type="dxa"/>
              <w:start w:w="120" w:type="dxa"/>
              <w:bottom w:w="80" w:type="dxa"/>
              <w:end w:w="120" w:type="dxa"/>
            </w:tcMar>
          </w:tcPr>
          <w:p>
            <w:pPr>
              <w:spacing w:after="0" w:line="252" w:lineRule="auto"/>
            </w:pPr>
            <w:r>
              <w:rPr>
                <w:rFonts w:ascii="Calibri" w:hAnsi="Calibri"/>
                <w:color w:val="000000"/>
                <w:sz w:val="19"/>
              </w:rPr>
              <w:t>Implementation-ready baseline</w:t>
            </w:r>
          </w:p>
        </w:tc>
      </w:tr>
      <w:tr>
        <w:trPr>
          <w:cantSplit/>
        </w:trPr>
        <w:tc>
          <w:tcPr>
            <w:tcW w:type="dxa" w:w="1800"/>
            <w:vAlign w:val="top"/>
            <w:tcMar>
              <w:top w:w="80" w:type="dxa"/>
              <w:start w:w="120" w:type="dxa"/>
              <w:bottom w:w="80" w:type="dxa"/>
              <w:end w:w="120" w:type="dxa"/>
            </w:tcMar>
          </w:tcPr>
          <w:p>
            <w:pPr>
              <w:spacing w:after="0" w:line="252" w:lineRule="auto"/>
            </w:pPr>
            <w:r>
              <w:rPr>
                <w:rFonts w:ascii="Calibri" w:hAnsi="Calibri"/>
                <w:color w:val="000000"/>
                <w:sz w:val="19"/>
              </w:rPr>
              <w:t>Audience</w:t>
            </w:r>
          </w:p>
        </w:tc>
        <w:tc>
          <w:tcPr>
            <w:tcW w:type="dxa" w:w="7560"/>
            <w:vAlign w:val="top"/>
            <w:tcMar>
              <w:top w:w="80" w:type="dxa"/>
              <w:start w:w="120" w:type="dxa"/>
              <w:bottom w:w="80" w:type="dxa"/>
              <w:end w:w="120" w:type="dxa"/>
            </w:tcMar>
          </w:tcPr>
          <w:p>
            <w:pPr>
              <w:spacing w:after="0" w:line="252" w:lineRule="auto"/>
            </w:pPr>
            <w:r>
              <w:rPr>
                <w:rFonts w:ascii="Calibri" w:hAnsi="Calibri"/>
                <w:color w:val="000000"/>
                <w:sz w:val="19"/>
              </w:rPr>
              <w:t>Product, engineering, design and QA teams</w:t>
            </w:r>
          </w:p>
        </w:tc>
      </w:tr>
      <w:tr>
        <w:trPr>
          <w:cantSplit/>
        </w:trPr>
        <w:tc>
          <w:tcPr>
            <w:tcW w:type="dxa" w:w="1800"/>
            <w:vAlign w:val="top"/>
            <w:tcMar>
              <w:top w:w="80" w:type="dxa"/>
              <w:start w:w="120" w:type="dxa"/>
              <w:bottom w:w="80" w:type="dxa"/>
              <w:end w:w="120" w:type="dxa"/>
            </w:tcMar>
          </w:tcPr>
          <w:p>
            <w:pPr>
              <w:spacing w:after="0" w:line="252" w:lineRule="auto"/>
            </w:pPr>
            <w:r>
              <w:rPr>
                <w:rFonts w:ascii="Calibri" w:hAnsi="Calibri"/>
                <w:color w:val="000000"/>
                <w:sz w:val="19"/>
              </w:rPr>
              <w:t>Primary integrations</w:t>
            </w:r>
          </w:p>
        </w:tc>
        <w:tc>
          <w:tcPr>
            <w:tcW w:type="dxa" w:w="7560"/>
            <w:vAlign w:val="top"/>
            <w:tcMar>
              <w:top w:w="80" w:type="dxa"/>
              <w:start w:w="120" w:type="dxa"/>
              <w:bottom w:w="80" w:type="dxa"/>
              <w:end w:w="120" w:type="dxa"/>
            </w:tcMar>
          </w:tcPr>
          <w:p>
            <w:pPr>
              <w:spacing w:after="0" w:line="252" w:lineRule="auto"/>
            </w:pPr>
            <w:r>
              <w:rPr>
                <w:rFonts w:ascii="Calibri" w:hAnsi="Calibri"/>
                <w:color w:val="000000"/>
                <w:sz w:val="19"/>
              </w:rPr>
              <w:t>OpenRouter for language/vision intelligence; FAL AI for media generation</w:t>
            </w:r>
          </w:p>
        </w:tc>
      </w:tr>
    </w:tbl>
    <w:p>
      <w:pPr>
        <w:spacing w:after="0"/>
      </w:pPr>
    </w:p>
    <w:tbl>
      <w:tblPr>
        <w:tblStyle w:val="TableGrid"/>
        <w:tblW w:type="dxa" w:w="9360"/>
        <w:jc w:val="left"/>
        <w:tblLayout w:type="fixed"/>
        <w:tblLook w:firstColumn="1" w:firstRow="1" w:lastColumn="0" w:lastRow="0" w:noHBand="0" w:noVBand="1" w:val="04A0"/>
        <w:tblInd w:w="120" w:type="dxa"/>
      </w:tblPr>
      <w:tblGrid>
        <w:gridCol w:w="9360"/>
      </w:tblGrid>
      <w:tr>
        <w:trPr>
          <w:tblHeader w:val="true"/>
        </w:trPr>
        <w:tc>
          <w:tcPr>
            <w:tcW w:type="dxa" w:w="9360"/>
            <w:tcMar>
              <w:top w:w="80" w:type="dxa"/>
              <w:start w:w="120" w:type="dxa"/>
              <w:bottom w:w="80" w:type="dxa"/>
              <w:end w:w="120" w:type="dxa"/>
            </w:tcMar>
            <w:shd w:fill="E8EEF5"/>
          </w:tcPr>
          <w:p>
            <w:pPr>
              <w:spacing w:after="0"/>
            </w:pPr>
            <w:r>
              <w:rPr>
                <w:rFonts w:ascii="Calibri" w:hAnsi="Calibri"/>
                <w:b/>
                <w:color w:val="163A5A"/>
              </w:rPr>
              <w:t xml:space="preserve">Scope decision: </w:t>
            </w:r>
            <w:r>
              <w:rPr>
                <w:rFonts w:ascii="Calibri" w:hAnsi="Calibri"/>
              </w:rPr>
              <w:t>Only inspiration/reference videos shorter than 5 minutes may be uploaded for automated analysis. The system must reject a source video whose duration is 5:00 or longer. This limit applies to analysed input media, not necessarily to the final production target.</w:t>
            </w:r>
          </w:p>
        </w:tc>
      </w:tr>
    </w:tbl>
    <w:p>
      <w:pPr>
        <w:spacing w:after="0"/>
      </w:pPr>
    </w:p>
    <w:p>
      <w:pPr>
        <w:pStyle w:val="Heading1"/>
      </w:pPr>
      <w:r>
        <w:t>1. Executive summary</w:t>
      </w:r>
    </w:p>
    <w:p>
      <w:r>
        <w:t>The Content tab will become a single production workspace that converts either a written idea or a short inspiration video into a structured story, natural dialogue, a scene-and-shot plan, generated media, a review queue and an assembled master video. The product will own the creative schemas, quality rules, repair logic, versions and provider history. External AI providers will remain replaceable execution dependencies behind internal adapters.</w:t>
      </w:r>
    </w:p>
    <w:p>
      <w:r>
        <w:t>The first release will be a modular monolith: React for the workspace, NestJS for the production core, PostgreSQL for structured state, object storage for media, Redis/BullMQ for asynchronous jobs and FFmpeg-based workers for analysis, assembly and deterministic technical checks. It will not embed multiple overlapping open-source orchestration products.</w:t>
      </w:r>
    </w:p>
    <w:p>
      <w:pPr>
        <w:pStyle w:val="Heading1"/>
      </w:pPr>
      <w:r>
        <w:t>2. Product goals and principles</w:t>
      </w:r>
    </w:p>
    <w:p>
      <w:pPr>
        <w:pStyle w:val="ListBullet"/>
        <w:spacing w:after="80" w:line="264" w:lineRule="auto"/>
      </w:pPr>
      <w:r>
        <w:rPr>
          <w:rFonts w:ascii="Calibri" w:hAnsi="Calibri"/>
        </w:rPr>
        <w:t>Create one coherent workflow from brief to approved final video without manual prompt copying.</w:t>
      </w:r>
    </w:p>
    <w:p>
      <w:pPr>
        <w:pStyle w:val="ListBullet"/>
        <w:spacing w:after="80" w:line="264" w:lineRule="auto"/>
      </w:pPr>
      <w:r>
        <w:rPr>
          <w:rFonts w:ascii="Calibri" w:hAnsi="Calibri"/>
        </w:rPr>
        <w:t>Produce dialogue that sounds spoken and situational rather than generic, declarative or translated.</w:t>
      </w:r>
    </w:p>
    <w:p>
      <w:pPr>
        <w:pStyle w:val="ListBullet"/>
        <w:spacing w:after="80" w:line="264" w:lineRule="auto"/>
      </w:pPr>
      <w:r>
        <w:rPr>
          <w:rFonts w:ascii="Calibri" w:hAnsi="Calibri"/>
        </w:rPr>
        <w:t>Regenerate only the failed shot, sentence or asset; never rebuild the complete production for a local failure.</w:t>
      </w:r>
    </w:p>
    <w:p>
      <w:pPr>
        <w:pStyle w:val="ListBullet"/>
        <w:spacing w:after="80" w:line="264" w:lineRule="auto"/>
      </w:pPr>
      <w:r>
        <w:rPr>
          <w:rFonts w:ascii="Calibri" w:hAnsi="Calibri"/>
        </w:rPr>
        <w:t>Use stage-specific model policies and approved LoRAs instead of unrestricted model or internet-LoRA selection.</w:t>
      </w:r>
    </w:p>
    <w:p>
      <w:pPr>
        <w:pStyle w:val="ListBullet"/>
        <w:spacing w:after="80" w:line="264" w:lineRule="auto"/>
      </w:pPr>
      <w:r>
        <w:rPr>
          <w:rFonts w:ascii="Calibri" w:hAnsi="Calibri"/>
        </w:rPr>
        <w:t>Keep providers replaceable while retaining production knowledge, quality history and lineage in the owned core.</w:t>
      </w:r>
    </w:p>
    <w:p>
      <w:pPr>
        <w:pStyle w:val="ListBullet"/>
        <w:spacing w:after="80" w:line="264" w:lineRule="auto"/>
      </w:pPr>
      <w:r>
        <w:rPr>
          <w:rFonts w:ascii="Calibri" w:hAnsi="Calibri"/>
        </w:rPr>
        <w:t>Expose complexity only when it helps a user make a decision; otherwise run it in the background.</w:t>
      </w:r>
    </w:p>
    <w:p>
      <w:pPr>
        <w:pStyle w:val="Heading2"/>
      </w:pPr>
      <w:r>
        <w:t>2.1 Success measures</w:t>
      </w:r>
    </w:p>
    <w:tbl>
      <w:tblPr>
        <w:tblStyle w:val="TableGrid"/>
        <w:tblW w:type="dxa" w:w="9360"/>
        <w:jc w:val="left"/>
        <w:tblLayout w:type="fixed"/>
        <w:tblLook w:firstColumn="1" w:firstRow="1" w:lastColumn="0" w:lastRow="0" w:noHBand="0" w:noVBand="1" w:val="04A0"/>
        <w:tblInd w:w="120" w:type="dxa"/>
      </w:tblPr>
      <w:tblGrid>
        <w:gridCol w:w="2450"/>
        <w:gridCol w:w="6910"/>
      </w:tblGrid>
      <w:tr>
        <w:trPr>
          <w:tblHeader w:val="true"/>
        </w:trPr>
        <w:tc>
          <w:tcPr>
            <w:tcW w:type="dxa" w:w="2450"/>
            <w:shd w:fill="F2F4F7"/>
            <w:vAlign w:val="center"/>
            <w:tcMar>
              <w:top w:w="80" w:type="dxa"/>
              <w:start w:w="120" w:type="dxa"/>
              <w:bottom w:w="80" w:type="dxa"/>
              <w:end w:w="120" w:type="dxa"/>
            </w:tcMar>
          </w:tcPr>
          <w:p>
            <w:pPr>
              <w:spacing w:after="0"/>
            </w:pPr>
            <w:r>
              <w:rPr>
                <w:rFonts w:ascii="Calibri" w:hAnsi="Calibri"/>
                <w:b/>
                <w:color w:val="163A5A"/>
                <w:sz w:val="18"/>
              </w:rPr>
              <w:t>Measure</w:t>
            </w:r>
          </w:p>
        </w:tc>
        <w:tc>
          <w:tcPr>
            <w:tcW w:type="dxa" w:w="6910"/>
            <w:shd w:fill="F2F4F7"/>
            <w:vAlign w:val="center"/>
            <w:tcMar>
              <w:top w:w="80" w:type="dxa"/>
              <w:start w:w="120" w:type="dxa"/>
              <w:bottom w:w="80" w:type="dxa"/>
              <w:end w:w="120" w:type="dxa"/>
            </w:tcMar>
          </w:tcPr>
          <w:p>
            <w:pPr>
              <w:spacing w:after="0"/>
            </w:pPr>
            <w:r>
              <w:rPr>
                <w:rFonts w:ascii="Calibri" w:hAnsi="Calibri"/>
                <w:b/>
                <w:color w:val="163A5A"/>
                <w:sz w:val="18"/>
              </w:rPr>
              <w:t>Initial target</w:t>
            </w:r>
          </w:p>
        </w:tc>
      </w:tr>
      <w:tr>
        <w:trPr>
          <w:cantSplit/>
        </w:trPr>
        <w:tc>
          <w:tcPr>
            <w:tcW w:type="dxa" w:w="2450"/>
            <w:vAlign w:val="top"/>
            <w:tcMar>
              <w:top w:w="80" w:type="dxa"/>
              <w:start w:w="120" w:type="dxa"/>
              <w:bottom w:w="80" w:type="dxa"/>
              <w:end w:w="120" w:type="dxa"/>
            </w:tcMar>
          </w:tcPr>
          <w:p>
            <w:pPr>
              <w:spacing w:after="0" w:line="252" w:lineRule="auto"/>
            </w:pPr>
            <w:r>
              <w:rPr>
                <w:rFonts w:ascii="Calibri" w:hAnsi="Calibri"/>
                <w:color w:val="000000"/>
                <w:sz w:val="18"/>
              </w:rPr>
              <w:t>Workflow completion</w:t>
            </w:r>
          </w:p>
        </w:tc>
        <w:tc>
          <w:tcPr>
            <w:tcW w:type="dxa" w:w="6910"/>
            <w:vAlign w:val="top"/>
            <w:tcMar>
              <w:top w:w="80" w:type="dxa"/>
              <w:start w:w="120" w:type="dxa"/>
              <w:bottom w:w="80" w:type="dxa"/>
              <w:end w:w="120" w:type="dxa"/>
            </w:tcMar>
          </w:tcPr>
          <w:p>
            <w:pPr>
              <w:spacing w:after="0" w:line="252" w:lineRule="auto"/>
            </w:pPr>
            <w:r>
              <w:rPr>
                <w:rFonts w:ascii="Calibri" w:hAnsi="Calibri"/>
                <w:color w:val="000000"/>
                <w:sz w:val="18"/>
              </w:rPr>
              <w:t>A user can move from accepted input to exported master without copying prompts between tools.</w:t>
            </w:r>
          </w:p>
        </w:tc>
      </w:tr>
      <w:tr>
        <w:trPr>
          <w:cantSplit/>
        </w:trPr>
        <w:tc>
          <w:tcPr>
            <w:tcW w:type="dxa" w:w="2450"/>
            <w:vAlign w:val="top"/>
            <w:tcMar>
              <w:top w:w="80" w:type="dxa"/>
              <w:start w:w="120" w:type="dxa"/>
              <w:bottom w:w="80" w:type="dxa"/>
              <w:end w:w="120" w:type="dxa"/>
            </w:tcMar>
          </w:tcPr>
          <w:p>
            <w:pPr>
              <w:spacing w:after="0" w:line="252" w:lineRule="auto"/>
            </w:pPr>
            <w:r>
              <w:rPr>
                <w:rFonts w:ascii="Calibri" w:hAnsi="Calibri"/>
                <w:color w:val="000000"/>
                <w:sz w:val="18"/>
              </w:rPr>
              <w:t>Revision efficiency</w:t>
            </w:r>
          </w:p>
        </w:tc>
        <w:tc>
          <w:tcPr>
            <w:tcW w:type="dxa" w:w="6910"/>
            <w:vAlign w:val="top"/>
            <w:tcMar>
              <w:top w:w="80" w:type="dxa"/>
              <w:start w:w="120" w:type="dxa"/>
              <w:bottom w:w="80" w:type="dxa"/>
              <w:end w:w="120" w:type="dxa"/>
            </w:tcMar>
          </w:tcPr>
          <w:p>
            <w:pPr>
              <w:spacing w:after="0" w:line="252" w:lineRule="auto"/>
            </w:pPr>
            <w:r>
              <w:rPr>
                <w:rFonts w:ascii="Calibri" w:hAnsi="Calibri"/>
                <w:color w:val="000000"/>
                <w:sz w:val="18"/>
              </w:rPr>
              <w:t>At least 80% of generation failures are repaired at shot/asset level, not by full-project regeneration.</w:t>
            </w:r>
          </w:p>
        </w:tc>
      </w:tr>
      <w:tr>
        <w:trPr>
          <w:cantSplit/>
        </w:trPr>
        <w:tc>
          <w:tcPr>
            <w:tcW w:type="dxa" w:w="2450"/>
            <w:vAlign w:val="top"/>
            <w:tcMar>
              <w:top w:w="80" w:type="dxa"/>
              <w:start w:w="120" w:type="dxa"/>
              <w:bottom w:w="80" w:type="dxa"/>
              <w:end w:w="120" w:type="dxa"/>
            </w:tcMar>
          </w:tcPr>
          <w:p>
            <w:pPr>
              <w:spacing w:after="0" w:line="252" w:lineRule="auto"/>
            </w:pPr>
            <w:r>
              <w:rPr>
                <w:rFonts w:ascii="Calibri" w:hAnsi="Calibri"/>
                <w:color w:val="000000"/>
                <w:sz w:val="18"/>
              </w:rPr>
              <w:t>Dialogue gate</w:t>
            </w:r>
          </w:p>
        </w:tc>
        <w:tc>
          <w:tcPr>
            <w:tcW w:type="dxa" w:w="6910"/>
            <w:vAlign w:val="top"/>
            <w:tcMar>
              <w:top w:w="80" w:type="dxa"/>
              <w:start w:w="120" w:type="dxa"/>
              <w:bottom w:w="80" w:type="dxa"/>
              <w:end w:w="120" w:type="dxa"/>
            </w:tcMar>
          </w:tcPr>
          <w:p>
            <w:pPr>
              <w:spacing w:after="0" w:line="252" w:lineRule="auto"/>
            </w:pPr>
            <w:r>
              <w:rPr>
                <w:rFonts w:ascii="Calibri" w:hAnsi="Calibri"/>
                <w:color w:val="000000"/>
                <w:sz w:val="18"/>
              </w:rPr>
              <w:t>No scene proceeds to paid media generation until dialogue passes naturalness and speakability checks or is manually approved.</w:t>
            </w:r>
          </w:p>
        </w:tc>
      </w:tr>
      <w:tr>
        <w:trPr>
          <w:cantSplit/>
        </w:trPr>
        <w:tc>
          <w:tcPr>
            <w:tcW w:type="dxa" w:w="2450"/>
            <w:vAlign w:val="top"/>
            <w:tcMar>
              <w:top w:w="80" w:type="dxa"/>
              <w:start w:w="120" w:type="dxa"/>
              <w:bottom w:w="80" w:type="dxa"/>
              <w:end w:w="120" w:type="dxa"/>
            </w:tcMar>
          </w:tcPr>
          <w:p>
            <w:pPr>
              <w:spacing w:after="0" w:line="252" w:lineRule="auto"/>
            </w:pPr>
            <w:r>
              <w:rPr>
                <w:rFonts w:ascii="Calibri" w:hAnsi="Calibri"/>
                <w:color w:val="000000"/>
                <w:sz w:val="18"/>
              </w:rPr>
              <w:t>Traceability</w:t>
            </w:r>
          </w:p>
        </w:tc>
        <w:tc>
          <w:tcPr>
            <w:tcW w:type="dxa" w:w="6910"/>
            <w:vAlign w:val="top"/>
            <w:tcMar>
              <w:top w:w="80" w:type="dxa"/>
              <w:start w:w="120" w:type="dxa"/>
              <w:bottom w:w="80" w:type="dxa"/>
              <w:end w:w="120" w:type="dxa"/>
            </w:tcMar>
          </w:tcPr>
          <w:p>
            <w:pPr>
              <w:spacing w:after="0" w:line="252" w:lineRule="auto"/>
            </w:pPr>
            <w:r>
              <w:rPr>
                <w:rFonts w:ascii="Calibri" w:hAnsi="Calibri"/>
                <w:color w:val="000000"/>
                <w:sz w:val="18"/>
              </w:rPr>
              <w:t>Every generated asset records prompt, model, endpoint, parameters, cost, parent version and review result.</w:t>
            </w:r>
          </w:p>
        </w:tc>
      </w:tr>
      <w:tr>
        <w:trPr>
          <w:cantSplit/>
        </w:trPr>
        <w:tc>
          <w:tcPr>
            <w:tcW w:type="dxa" w:w="2450"/>
            <w:vAlign w:val="top"/>
            <w:tcMar>
              <w:top w:w="80" w:type="dxa"/>
              <w:start w:w="120" w:type="dxa"/>
              <w:bottom w:w="80" w:type="dxa"/>
              <w:end w:w="120" w:type="dxa"/>
            </w:tcMar>
          </w:tcPr>
          <w:p>
            <w:pPr>
              <w:spacing w:after="0" w:line="252" w:lineRule="auto"/>
            </w:pPr>
            <w:r>
              <w:rPr>
                <w:rFonts w:ascii="Calibri" w:hAnsi="Calibri"/>
                <w:color w:val="000000"/>
                <w:sz w:val="18"/>
              </w:rPr>
              <w:t>Provider resilience</w:t>
            </w:r>
          </w:p>
        </w:tc>
        <w:tc>
          <w:tcPr>
            <w:tcW w:type="dxa" w:w="6910"/>
            <w:vAlign w:val="top"/>
            <w:tcMar>
              <w:top w:w="80" w:type="dxa"/>
              <w:start w:w="120" w:type="dxa"/>
              <w:bottom w:w="80" w:type="dxa"/>
              <w:end w:w="120" w:type="dxa"/>
            </w:tcMar>
          </w:tcPr>
          <w:p>
            <w:pPr>
              <w:spacing w:after="0" w:line="252" w:lineRule="auto"/>
            </w:pPr>
            <w:r>
              <w:rPr>
                <w:rFonts w:ascii="Calibri" w:hAnsi="Calibri"/>
                <w:color w:val="000000"/>
                <w:sz w:val="18"/>
              </w:rPr>
              <w:t>A configured fallback can replace an unavailable OpenRouter or FAL model without changing project data.</w:t>
            </w:r>
          </w:p>
        </w:tc>
      </w:tr>
      <w:tr>
        <w:trPr>
          <w:cantSplit/>
        </w:trPr>
        <w:tc>
          <w:tcPr>
            <w:tcW w:type="dxa" w:w="2450"/>
            <w:vAlign w:val="top"/>
            <w:tcMar>
              <w:top w:w="80" w:type="dxa"/>
              <w:start w:w="120" w:type="dxa"/>
              <w:bottom w:w="80" w:type="dxa"/>
              <w:end w:w="120" w:type="dxa"/>
            </w:tcMar>
          </w:tcPr>
          <w:p>
            <w:pPr>
              <w:spacing w:after="0" w:line="252" w:lineRule="auto"/>
            </w:pPr>
            <w:r>
              <w:rPr>
                <w:rFonts w:ascii="Calibri" w:hAnsi="Calibri"/>
                <w:color w:val="000000"/>
                <w:sz w:val="18"/>
              </w:rPr>
              <w:t>Technical output</w:t>
            </w:r>
          </w:p>
        </w:tc>
        <w:tc>
          <w:tcPr>
            <w:tcW w:type="dxa" w:w="6910"/>
            <w:vAlign w:val="top"/>
            <w:tcMar>
              <w:top w:w="80" w:type="dxa"/>
              <w:start w:w="120" w:type="dxa"/>
              <w:bottom w:w="80" w:type="dxa"/>
              <w:end w:w="120" w:type="dxa"/>
            </w:tcMar>
          </w:tcPr>
          <w:p>
            <w:pPr>
              <w:spacing w:after="0" w:line="252" w:lineRule="auto"/>
            </w:pPr>
            <w:r>
              <w:rPr>
                <w:rFonts w:ascii="Calibri" w:hAnsi="Calibri"/>
                <w:color w:val="000000"/>
                <w:sz w:val="18"/>
              </w:rPr>
              <w:t>Final exports pass resolution, duration, audio, subtitle-safe-area, missing-scene and corruption checks.</w:t>
            </w:r>
          </w:p>
        </w:tc>
      </w:tr>
    </w:tbl>
    <w:p>
      <w:pPr>
        <w:spacing w:after="0"/>
      </w:pPr>
    </w:p>
    <w:p>
      <w:pPr>
        <w:pStyle w:val="Heading1"/>
      </w:pPr>
      <w:r>
        <w:t>3. Scope</w:t>
      </w:r>
    </w:p>
    <w:p>
      <w:pPr>
        <w:pStyle w:val="Heading2"/>
      </w:pPr>
      <w:r>
        <w:t>3.1 In scope for MVP</w:t>
      </w:r>
    </w:p>
    <w:p>
      <w:pPr>
        <w:pStyle w:val="ListBullet"/>
        <w:spacing w:after="80" w:line="264" w:lineRule="auto"/>
      </w:pPr>
      <w:r>
        <w:rPr>
          <w:rFonts w:ascii="Calibri" w:hAnsi="Calibri"/>
        </w:rPr>
        <w:t>New project from a text idea, optional script, images or one inspiration video shorter than 5 minutes.</w:t>
      </w:r>
    </w:p>
    <w:p>
      <w:pPr>
        <w:pStyle w:val="ListBullet"/>
        <w:spacing w:after="80" w:line="264" w:lineRule="auto"/>
      </w:pPr>
      <w:r>
        <w:rPr>
          <w:rFonts w:ascii="Calibri" w:hAnsi="Calibri"/>
        </w:rPr>
        <w:t>Local extraction of video metadata, scene boundaries, representative frames and transcript before LLM analysis.</w:t>
      </w:r>
    </w:p>
    <w:p>
      <w:pPr>
        <w:pStyle w:val="ListBullet"/>
        <w:spacing w:after="80" w:line="264" w:lineRule="auto"/>
      </w:pPr>
      <w:r>
        <w:rPr>
          <w:rFonts w:ascii="Calibri" w:hAnsi="Calibri"/>
        </w:rPr>
        <w:t>Concept options, story beats, character/environment/style bible and explicit locking of approved content.</w:t>
      </w:r>
    </w:p>
    <w:p>
      <w:pPr>
        <w:pStyle w:val="ListBullet"/>
        <w:spacing w:after="80" w:line="264" w:lineRule="auto"/>
      </w:pPr>
      <w:r>
        <w:rPr>
          <w:rFonts w:ascii="Calibri" w:hAnsi="Calibri"/>
        </w:rPr>
        <w:t>Dialogue Room with character objectives, knowledge boundaries, subtext, line-level critique and targeted rewrites.</w:t>
      </w:r>
    </w:p>
    <w:p>
      <w:pPr>
        <w:pStyle w:val="ListBullet"/>
        <w:spacing w:after="80" w:line="264" w:lineRule="auto"/>
      </w:pPr>
      <w:r>
        <w:rPr>
          <w:rFonts w:ascii="Calibri" w:hAnsi="Calibri"/>
        </w:rPr>
        <w:t>Scene and shot timeline with duration, action, camera, dialogue, audio, prompt, model plan, LoRA plan and status.</w:t>
      </w:r>
    </w:p>
    <w:p>
      <w:pPr>
        <w:pStyle w:val="ListBullet"/>
        <w:spacing w:after="80" w:line="264" w:lineRule="auto"/>
      </w:pPr>
      <w:r>
        <w:rPr>
          <w:rFonts w:ascii="Calibri" w:hAnsi="Calibri"/>
        </w:rPr>
        <w:t>FAL-backed image, image-edit, image-to-video, text-to-video, speech/lip-sync where required, upscaling and supported LoRA operations.</w:t>
      </w:r>
    </w:p>
    <w:p>
      <w:pPr>
        <w:pStyle w:val="ListBullet"/>
        <w:spacing w:after="80" w:line="264" w:lineRule="auto"/>
      </w:pPr>
      <w:r>
        <w:rPr>
          <w:rFonts w:ascii="Calibri" w:hAnsi="Calibri"/>
        </w:rPr>
        <w:t>OpenRouter-backed analysis, writing, structured planning, visual criticism and repair planning.</w:t>
      </w:r>
    </w:p>
    <w:p>
      <w:pPr>
        <w:pStyle w:val="ListBullet"/>
        <w:spacing w:after="80" w:line="264" w:lineRule="auto"/>
      </w:pPr>
      <w:r>
        <w:rPr>
          <w:rFonts w:ascii="Calibri" w:hAnsi="Calibri"/>
        </w:rPr>
        <w:t>Exception-first review queue, versions, lineage, cost tracking, targeted repair and final FFmpeg assembly.</w:t>
      </w:r>
    </w:p>
    <w:p>
      <w:pPr>
        <w:pStyle w:val="ListBullet"/>
        <w:spacing w:after="80" w:line="264" w:lineRule="auto"/>
      </w:pPr>
      <w:r>
        <w:rPr>
          <w:rFonts w:ascii="Calibri" w:hAnsi="Calibri"/>
        </w:rPr>
        <w:t>Owner and Reviewer roles, project-level permissions and provider/budget settings outside the Content tab.</w:t>
      </w:r>
    </w:p>
    <w:p>
      <w:pPr>
        <w:pStyle w:val="Heading2"/>
      </w:pPr>
      <w:r>
        <w:t>3.2 Explicitly out of scope for MVP</w:t>
      </w:r>
    </w:p>
    <w:p>
      <w:pPr>
        <w:pStyle w:val="ListBullet"/>
        <w:spacing w:after="80" w:line="264" w:lineRule="auto"/>
      </w:pPr>
      <w:r>
        <w:rPr>
          <w:rFonts w:ascii="Calibri" w:hAnsi="Calibri"/>
        </w:rPr>
        <w:t>Analysis of an inspiration/reference video with duration of 5:00 or longer.</w:t>
      </w:r>
    </w:p>
    <w:p>
      <w:pPr>
        <w:pStyle w:val="ListBullet"/>
        <w:spacing w:after="80" w:line="264" w:lineRule="auto"/>
      </w:pPr>
      <w:r>
        <w:rPr>
          <w:rFonts w:ascii="Calibri" w:hAnsi="Calibri"/>
        </w:rPr>
        <w:t>Automatic publishing to social channels.</w:t>
      </w:r>
    </w:p>
    <w:p>
      <w:pPr>
        <w:pStyle w:val="ListBullet"/>
        <w:spacing w:after="80" w:line="264" w:lineRule="auto"/>
      </w:pPr>
      <w:r>
        <w:rPr>
          <w:rFonts w:ascii="Calibri" w:hAnsi="Calibri"/>
        </w:rPr>
        <w:t>Unrestricted downloading of LoRAs or models from public sites during production.</w:t>
      </w:r>
    </w:p>
    <w:p>
      <w:pPr>
        <w:pStyle w:val="ListBullet"/>
        <w:spacing w:after="80" w:line="264" w:lineRule="auto"/>
      </w:pPr>
      <w:r>
        <w:rPr>
          <w:rFonts w:ascii="Calibri" w:hAnsi="Calibri"/>
        </w:rPr>
        <w:t>A separate microservice per agent, a visual dependency-graph editor, or a general-purpose workflow builder.</w:t>
      </w:r>
    </w:p>
    <w:p>
      <w:pPr>
        <w:pStyle w:val="ListBullet"/>
        <w:spacing w:after="80" w:line="264" w:lineRule="auto"/>
      </w:pPr>
      <w:r>
        <w:rPr>
          <w:rFonts w:ascii="Calibri" w:hAnsi="Calibri"/>
        </w:rPr>
        <w:t>ComfyUI or self-hosted generation as a required production dependency; a future adapter may add it.</w:t>
      </w:r>
    </w:p>
    <w:p>
      <w:pPr>
        <w:pStyle w:val="ListBullet"/>
        <w:spacing w:after="80" w:line="264" w:lineRule="auto"/>
      </w:pPr>
      <w:r>
        <w:rPr>
          <w:rFonts w:ascii="Calibri" w:hAnsi="Calibri"/>
        </w:rPr>
        <w:t>More than two automatic repair attempts for the same failure without human review or a deliberate model switch.</w:t>
      </w:r>
    </w:p>
    <w:p>
      <w:pPr>
        <w:pStyle w:val="ListBullet"/>
        <w:spacing w:after="80" w:line="264" w:lineRule="auto"/>
      </w:pPr>
      <w:r>
        <w:rPr>
          <w:rFonts w:ascii="Calibri" w:hAnsi="Calibri"/>
        </w:rPr>
        <w:t>Full multi-tenant billing, complex enterprise role hierarchies or marketplace capabilities.</w:t>
      </w:r>
    </w:p>
    <w:p>
      <w:pPr>
        <w:pStyle w:val="Heading2"/>
      </w:pPr>
      <w:r>
        <w:t>3.3 Input and output boundaries</w:t>
      </w:r>
    </w:p>
    <w:tbl>
      <w:tblPr>
        <w:tblStyle w:val="TableGrid"/>
        <w:tblW w:type="dxa" w:w="9360"/>
        <w:jc w:val="left"/>
        <w:tblLayout w:type="fixed"/>
        <w:tblLook w:firstColumn="1" w:firstRow="1" w:lastColumn="0" w:lastRow="0" w:noHBand="0" w:noVBand="1" w:val="04A0"/>
        <w:tblInd w:w="120" w:type="dxa"/>
      </w:tblPr>
      <w:tblGrid>
        <w:gridCol w:w="2200"/>
        <w:gridCol w:w="7160"/>
      </w:tblGrid>
      <w:tr>
        <w:trPr>
          <w:tblHeader w:val="true"/>
        </w:trPr>
        <w:tc>
          <w:tcPr>
            <w:tcW w:type="dxa" w:w="2200"/>
            <w:shd w:fill="F2F4F7"/>
            <w:vAlign w:val="center"/>
            <w:tcMar>
              <w:top w:w="80" w:type="dxa"/>
              <w:start w:w="120" w:type="dxa"/>
              <w:bottom w:w="80" w:type="dxa"/>
              <w:end w:w="120" w:type="dxa"/>
            </w:tcMar>
          </w:tcPr>
          <w:p>
            <w:pPr>
              <w:spacing w:after="0"/>
            </w:pPr>
            <w:r>
              <w:rPr>
                <w:rFonts w:ascii="Calibri" w:hAnsi="Calibri"/>
                <w:b/>
                <w:color w:val="163A5A"/>
                <w:sz w:val="18"/>
              </w:rPr>
              <w:t>Item</w:t>
            </w:r>
          </w:p>
        </w:tc>
        <w:tc>
          <w:tcPr>
            <w:tcW w:type="dxa" w:w="7160"/>
            <w:shd w:fill="F2F4F7"/>
            <w:vAlign w:val="center"/>
            <w:tcMar>
              <w:top w:w="80" w:type="dxa"/>
              <w:start w:w="120" w:type="dxa"/>
              <w:bottom w:w="80" w:type="dxa"/>
              <w:end w:w="120" w:type="dxa"/>
            </w:tcMar>
          </w:tcPr>
          <w:p>
            <w:pPr>
              <w:spacing w:after="0"/>
            </w:pPr>
            <w:r>
              <w:rPr>
                <w:rFonts w:ascii="Calibri" w:hAnsi="Calibri"/>
                <w:b/>
                <w:color w:val="163A5A"/>
                <w:sz w:val="18"/>
              </w:rPr>
              <w:t>Requirement</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Idea</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Plain text; may include audience, language, genre, tone, style and desired outcome.</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Inspiration video</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One file per analysis run; duration_ms &lt; 300000. At exactly 300000 ms or above, reject before upload processing.</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Optional references</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Images, script, audio, documents and brand rules may be attached independently of the video duration rule.</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Target duration</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User-configurable. The system must calculate whether planned shot durations equal the target within configured tolerance.</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Primary output</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Approved master MP4 plus subtitles, production JSON and an asset manifest.</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Aspect ratios</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9:16 required for MVP; architecture must permit 16:9 and 1:1 profiles without schema changes.</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Languages</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Hindi and English in MVP; Hindi dialogue quality is a priority. Other languages remain configurable later.</w:t>
            </w:r>
          </w:p>
        </w:tc>
      </w:tr>
    </w:tbl>
    <w:p>
      <w:pPr>
        <w:spacing w:after="0"/>
      </w:pPr>
    </w:p>
    <w:p>
      <w:pPr>
        <w:pStyle w:val="Heading1"/>
      </w:pPr>
      <w:r>
        <w:t>4. User experience and information architecture</w:t>
      </w:r>
    </w:p>
    <w:p>
      <w:r>
        <w:t>The Content tab is a single workspace with five ordered sections. A compact header shows project status, target duration, estimated/actual cost, active jobs and unresolved exceptions. The bible opens as a drawer from Story and Scene Timeline rather than as a separate application.</w:t>
      </w:r>
    </w:p>
    <w:tbl>
      <w:tblPr>
        <w:tblStyle w:val="TableGrid"/>
        <w:tblW w:type="dxa" w:w="9360"/>
        <w:jc w:val="left"/>
        <w:tblLayout w:type="fixed"/>
        <w:tblLook w:firstColumn="1" w:firstRow="1" w:lastColumn="0" w:lastRow="0" w:noHBand="0" w:noVBand="1" w:val="04A0"/>
        <w:tblInd w:w="120" w:type="dxa"/>
      </w:tblPr>
      <w:tblGrid>
        <w:gridCol w:w="1450"/>
        <w:gridCol w:w="4050"/>
        <w:gridCol w:w="3860"/>
      </w:tblGrid>
      <w:tr>
        <w:trPr>
          <w:tblHeader w:val="true"/>
        </w:trPr>
        <w:tc>
          <w:tcPr>
            <w:tcW w:type="dxa" w:w="1450"/>
            <w:shd w:fill="F2F4F7"/>
            <w:vAlign w:val="center"/>
            <w:tcMar>
              <w:top w:w="80" w:type="dxa"/>
              <w:start w:w="120" w:type="dxa"/>
              <w:bottom w:w="80" w:type="dxa"/>
              <w:end w:w="120" w:type="dxa"/>
            </w:tcMar>
          </w:tcPr>
          <w:p>
            <w:pPr>
              <w:spacing w:after="0"/>
            </w:pPr>
            <w:r>
              <w:rPr>
                <w:rFonts w:ascii="Calibri" w:hAnsi="Calibri"/>
                <w:b/>
                <w:color w:val="163A5A"/>
                <w:sz w:val="18"/>
              </w:rPr>
              <w:t>Section</w:t>
            </w:r>
          </w:p>
        </w:tc>
        <w:tc>
          <w:tcPr>
            <w:tcW w:type="dxa" w:w="4050"/>
            <w:shd w:fill="F2F4F7"/>
            <w:vAlign w:val="center"/>
            <w:tcMar>
              <w:top w:w="80" w:type="dxa"/>
              <w:start w:w="120" w:type="dxa"/>
              <w:bottom w:w="80" w:type="dxa"/>
              <w:end w:w="120" w:type="dxa"/>
            </w:tcMar>
          </w:tcPr>
          <w:p>
            <w:pPr>
              <w:spacing w:after="0"/>
            </w:pPr>
            <w:r>
              <w:rPr>
                <w:rFonts w:ascii="Calibri" w:hAnsi="Calibri"/>
                <w:b/>
                <w:color w:val="163A5A"/>
                <w:sz w:val="18"/>
              </w:rPr>
              <w:t>Purpose</w:t>
            </w:r>
          </w:p>
        </w:tc>
        <w:tc>
          <w:tcPr>
            <w:tcW w:type="dxa" w:w="3860"/>
            <w:shd w:fill="F2F4F7"/>
            <w:vAlign w:val="center"/>
            <w:tcMar>
              <w:top w:w="80" w:type="dxa"/>
              <w:start w:w="120" w:type="dxa"/>
              <w:bottom w:w="80" w:type="dxa"/>
              <w:end w:w="120" w:type="dxa"/>
            </w:tcMar>
          </w:tcPr>
          <w:p>
            <w:pPr>
              <w:spacing w:after="0"/>
            </w:pPr>
            <w:r>
              <w:rPr>
                <w:rFonts w:ascii="Calibri" w:hAnsi="Calibri"/>
                <w:b/>
                <w:color w:val="163A5A"/>
                <w:sz w:val="18"/>
              </w:rPr>
              <w:t>Primary actions</w:t>
            </w:r>
          </w:p>
        </w:tc>
      </w:tr>
      <w:tr>
        <w:trPr>
          <w:cantSplit/>
        </w:trPr>
        <w:tc>
          <w:tcPr>
            <w:tcW w:type="dxa" w:w="1450"/>
            <w:vAlign w:val="top"/>
            <w:tcMar>
              <w:top w:w="80" w:type="dxa"/>
              <w:start w:w="120" w:type="dxa"/>
              <w:bottom w:w="80" w:type="dxa"/>
              <w:end w:w="120" w:type="dxa"/>
            </w:tcMar>
          </w:tcPr>
          <w:p>
            <w:pPr>
              <w:spacing w:after="0" w:line="252" w:lineRule="auto"/>
            </w:pPr>
            <w:r>
              <w:rPr>
                <w:rFonts w:ascii="Calibri" w:hAnsi="Calibri"/>
                <w:color w:val="000000"/>
                <w:sz w:val="18"/>
              </w:rPr>
              <w:t>1. Brief</w:t>
            </w:r>
          </w:p>
        </w:tc>
        <w:tc>
          <w:tcPr>
            <w:tcW w:type="dxa" w:w="4050"/>
            <w:vAlign w:val="top"/>
            <w:tcMar>
              <w:top w:w="80" w:type="dxa"/>
              <w:start w:w="120" w:type="dxa"/>
              <w:bottom w:w="80" w:type="dxa"/>
              <w:end w:w="120" w:type="dxa"/>
            </w:tcMar>
          </w:tcPr>
          <w:p>
            <w:pPr>
              <w:spacing w:after="0" w:line="252" w:lineRule="auto"/>
            </w:pPr>
            <w:r>
              <w:rPr>
                <w:rFonts w:ascii="Calibri" w:hAnsi="Calibri"/>
                <w:color w:val="000000"/>
                <w:sz w:val="18"/>
              </w:rPr>
              <w:t>Capture idea, references, target and constraints.</w:t>
            </w:r>
          </w:p>
        </w:tc>
        <w:tc>
          <w:tcPr>
            <w:tcW w:type="dxa" w:w="3860"/>
            <w:vAlign w:val="top"/>
            <w:tcMar>
              <w:top w:w="80" w:type="dxa"/>
              <w:start w:w="120" w:type="dxa"/>
              <w:bottom w:w="80" w:type="dxa"/>
              <w:end w:w="120" w:type="dxa"/>
            </w:tcMar>
          </w:tcPr>
          <w:p>
            <w:pPr>
              <w:spacing w:after="0" w:line="252" w:lineRule="auto"/>
            </w:pPr>
            <w:r>
              <w:rPr>
                <w:rFonts w:ascii="Calibri" w:hAnsi="Calibri"/>
                <w:color w:val="000000"/>
                <w:sz w:val="18"/>
              </w:rPr>
              <w:t>Analyse, validate input, propose concepts</w:t>
            </w:r>
          </w:p>
        </w:tc>
      </w:tr>
      <w:tr>
        <w:trPr>
          <w:cantSplit/>
        </w:trPr>
        <w:tc>
          <w:tcPr>
            <w:tcW w:type="dxa" w:w="1450"/>
            <w:vAlign w:val="top"/>
            <w:tcMar>
              <w:top w:w="80" w:type="dxa"/>
              <w:start w:w="120" w:type="dxa"/>
              <w:bottom w:w="80" w:type="dxa"/>
              <w:end w:w="120" w:type="dxa"/>
            </w:tcMar>
          </w:tcPr>
          <w:p>
            <w:pPr>
              <w:spacing w:after="0" w:line="252" w:lineRule="auto"/>
            </w:pPr>
            <w:r>
              <w:rPr>
                <w:rFonts w:ascii="Calibri" w:hAnsi="Calibri"/>
                <w:color w:val="000000"/>
                <w:sz w:val="18"/>
              </w:rPr>
              <w:t>2. Story</w:t>
            </w:r>
          </w:p>
        </w:tc>
        <w:tc>
          <w:tcPr>
            <w:tcW w:type="dxa" w:w="4050"/>
            <w:vAlign w:val="top"/>
            <w:tcMar>
              <w:top w:w="80" w:type="dxa"/>
              <w:start w:w="120" w:type="dxa"/>
              <w:bottom w:w="80" w:type="dxa"/>
              <w:end w:w="120" w:type="dxa"/>
            </w:tcMar>
          </w:tcPr>
          <w:p>
            <w:pPr>
              <w:spacing w:after="0" w:line="252" w:lineRule="auto"/>
            </w:pPr>
            <w:r>
              <w:rPr>
                <w:rFonts w:ascii="Calibri" w:hAnsi="Calibri"/>
                <w:color w:val="000000"/>
                <w:sz w:val="18"/>
              </w:rPr>
              <w:t>Develop and lock the narrative foundation.</w:t>
            </w:r>
          </w:p>
        </w:tc>
        <w:tc>
          <w:tcPr>
            <w:tcW w:type="dxa" w:w="3860"/>
            <w:vAlign w:val="top"/>
            <w:tcMar>
              <w:top w:w="80" w:type="dxa"/>
              <w:start w:w="120" w:type="dxa"/>
              <w:bottom w:w="80" w:type="dxa"/>
              <w:end w:w="120" w:type="dxa"/>
            </w:tcMar>
          </w:tcPr>
          <w:p>
            <w:pPr>
              <w:spacing w:after="0" w:line="252" w:lineRule="auto"/>
            </w:pPr>
            <w:r>
              <w:rPr>
                <w:rFonts w:ascii="Calibri" w:hAnsi="Calibri"/>
                <w:color w:val="000000"/>
                <w:sz w:val="18"/>
              </w:rPr>
              <w:t>Compare, rewrite, approve, lock</w:t>
            </w:r>
          </w:p>
        </w:tc>
      </w:tr>
      <w:tr>
        <w:trPr>
          <w:cantSplit/>
        </w:trPr>
        <w:tc>
          <w:tcPr>
            <w:tcW w:type="dxa" w:w="1450"/>
            <w:vAlign w:val="top"/>
            <w:tcMar>
              <w:top w:w="80" w:type="dxa"/>
              <w:start w:w="120" w:type="dxa"/>
              <w:bottom w:w="80" w:type="dxa"/>
              <w:end w:w="120" w:type="dxa"/>
            </w:tcMar>
          </w:tcPr>
          <w:p>
            <w:pPr>
              <w:spacing w:after="0" w:line="252" w:lineRule="auto"/>
            </w:pPr>
            <w:r>
              <w:rPr>
                <w:rFonts w:ascii="Calibri" w:hAnsi="Calibri"/>
                <w:color w:val="000000"/>
                <w:sz w:val="18"/>
              </w:rPr>
              <w:t>3. Scene Timeline</w:t>
            </w:r>
          </w:p>
        </w:tc>
        <w:tc>
          <w:tcPr>
            <w:tcW w:type="dxa" w:w="4050"/>
            <w:vAlign w:val="top"/>
            <w:tcMar>
              <w:top w:w="80" w:type="dxa"/>
              <w:start w:w="120" w:type="dxa"/>
              <w:bottom w:w="80" w:type="dxa"/>
              <w:end w:w="120" w:type="dxa"/>
            </w:tcMar>
          </w:tcPr>
          <w:p>
            <w:pPr>
              <w:spacing w:after="0" w:line="252" w:lineRule="auto"/>
            </w:pPr>
            <w:r>
              <w:rPr>
                <w:rFonts w:ascii="Calibri" w:hAnsi="Calibri"/>
                <w:color w:val="000000"/>
                <w:sz w:val="18"/>
              </w:rPr>
              <w:t>Operate the scene/shot production plan.</w:t>
            </w:r>
          </w:p>
        </w:tc>
        <w:tc>
          <w:tcPr>
            <w:tcW w:type="dxa" w:w="3860"/>
            <w:vAlign w:val="top"/>
            <w:tcMar>
              <w:top w:w="80" w:type="dxa"/>
              <w:start w:w="120" w:type="dxa"/>
              <w:bottom w:w="80" w:type="dxa"/>
              <w:end w:w="120" w:type="dxa"/>
            </w:tcMar>
          </w:tcPr>
          <w:p>
            <w:pPr>
              <w:spacing w:after="0" w:line="252" w:lineRule="auto"/>
            </w:pPr>
            <w:r>
              <w:rPr>
                <w:rFonts w:ascii="Calibri" w:hAnsi="Calibri"/>
                <w:color w:val="000000"/>
                <w:sz w:val="18"/>
              </w:rPr>
              <w:t>Edit, generate, approve, regenerate</w:t>
            </w:r>
          </w:p>
        </w:tc>
      </w:tr>
      <w:tr>
        <w:trPr>
          <w:cantSplit/>
        </w:trPr>
        <w:tc>
          <w:tcPr>
            <w:tcW w:type="dxa" w:w="1450"/>
            <w:vAlign w:val="top"/>
            <w:tcMar>
              <w:top w:w="80" w:type="dxa"/>
              <w:start w:w="120" w:type="dxa"/>
              <w:bottom w:w="80" w:type="dxa"/>
              <w:end w:w="120" w:type="dxa"/>
            </w:tcMar>
          </w:tcPr>
          <w:p>
            <w:pPr>
              <w:spacing w:after="0" w:line="252" w:lineRule="auto"/>
            </w:pPr>
            <w:r>
              <w:rPr>
                <w:rFonts w:ascii="Calibri" w:hAnsi="Calibri"/>
                <w:color w:val="000000"/>
                <w:sz w:val="18"/>
              </w:rPr>
              <w:t>4. Review Queue</w:t>
            </w:r>
          </w:p>
        </w:tc>
        <w:tc>
          <w:tcPr>
            <w:tcW w:type="dxa" w:w="4050"/>
            <w:vAlign w:val="top"/>
            <w:tcMar>
              <w:top w:w="80" w:type="dxa"/>
              <w:start w:w="120" w:type="dxa"/>
              <w:bottom w:w="80" w:type="dxa"/>
              <w:end w:w="120" w:type="dxa"/>
            </w:tcMar>
          </w:tcPr>
          <w:p>
            <w:pPr>
              <w:spacing w:after="0" w:line="252" w:lineRule="auto"/>
            </w:pPr>
            <w:r>
              <w:rPr>
                <w:rFonts w:ascii="Calibri" w:hAnsi="Calibri"/>
                <w:color w:val="000000"/>
                <w:sz w:val="18"/>
              </w:rPr>
              <w:t>Show only failed, uncertain or manually requested items.</w:t>
            </w:r>
          </w:p>
        </w:tc>
        <w:tc>
          <w:tcPr>
            <w:tcW w:type="dxa" w:w="3860"/>
            <w:vAlign w:val="top"/>
            <w:tcMar>
              <w:top w:w="80" w:type="dxa"/>
              <w:start w:w="120" w:type="dxa"/>
              <w:bottom w:w="80" w:type="dxa"/>
              <w:end w:w="120" w:type="dxa"/>
            </w:tcMar>
          </w:tcPr>
          <w:p>
            <w:pPr>
              <w:spacing w:after="0" w:line="252" w:lineRule="auto"/>
            </w:pPr>
            <w:r>
              <w:rPr>
                <w:rFonts w:ascii="Calibri" w:hAnsi="Calibri"/>
                <w:color w:val="000000"/>
                <w:sz w:val="18"/>
              </w:rPr>
              <w:t>Accept, repair, change model, return upstream</w:t>
            </w:r>
          </w:p>
        </w:tc>
      </w:tr>
      <w:tr>
        <w:trPr>
          <w:cantSplit/>
        </w:trPr>
        <w:tc>
          <w:tcPr>
            <w:tcW w:type="dxa" w:w="1450"/>
            <w:vAlign w:val="top"/>
            <w:tcMar>
              <w:top w:w="80" w:type="dxa"/>
              <w:start w:w="120" w:type="dxa"/>
              <w:bottom w:w="80" w:type="dxa"/>
              <w:end w:w="120" w:type="dxa"/>
            </w:tcMar>
          </w:tcPr>
          <w:p>
            <w:pPr>
              <w:spacing w:after="0" w:line="252" w:lineRule="auto"/>
            </w:pPr>
            <w:r>
              <w:rPr>
                <w:rFonts w:ascii="Calibri" w:hAnsi="Calibri"/>
                <w:color w:val="000000"/>
                <w:sz w:val="18"/>
              </w:rPr>
              <w:t>5. Final Timeline</w:t>
            </w:r>
          </w:p>
        </w:tc>
        <w:tc>
          <w:tcPr>
            <w:tcW w:type="dxa" w:w="4050"/>
            <w:vAlign w:val="top"/>
            <w:tcMar>
              <w:top w:w="80" w:type="dxa"/>
              <w:start w:w="120" w:type="dxa"/>
              <w:bottom w:w="80" w:type="dxa"/>
              <w:end w:w="120" w:type="dxa"/>
            </w:tcMar>
          </w:tcPr>
          <w:p>
            <w:pPr>
              <w:spacing w:after="0" w:line="252" w:lineRule="auto"/>
            </w:pPr>
            <w:r>
              <w:rPr>
                <w:rFonts w:ascii="Calibri" w:hAnsi="Calibri"/>
                <w:color w:val="000000"/>
                <w:sz w:val="18"/>
              </w:rPr>
              <w:t>Assemble approved clips, audio, captions and transitions.</w:t>
            </w:r>
          </w:p>
        </w:tc>
        <w:tc>
          <w:tcPr>
            <w:tcW w:type="dxa" w:w="3860"/>
            <w:vAlign w:val="top"/>
            <w:tcMar>
              <w:top w:w="80" w:type="dxa"/>
              <w:start w:w="120" w:type="dxa"/>
              <w:bottom w:w="80" w:type="dxa"/>
              <w:end w:w="120" w:type="dxa"/>
            </w:tcMar>
          </w:tcPr>
          <w:p>
            <w:pPr>
              <w:spacing w:after="0" w:line="252" w:lineRule="auto"/>
            </w:pPr>
            <w:r>
              <w:rPr>
                <w:rFonts w:ascii="Calibri" w:hAnsi="Calibri"/>
                <w:color w:val="000000"/>
                <w:sz w:val="18"/>
              </w:rPr>
              <w:t>Preview, render, validate, export</w:t>
            </w:r>
          </w:p>
        </w:tc>
      </w:tr>
    </w:tbl>
    <w:p>
      <w:pPr>
        <w:spacing w:after="0"/>
      </w:pPr>
    </w:p>
    <w:p>
      <w:pPr>
        <w:pStyle w:val="Heading2"/>
      </w:pPr>
      <w:r>
        <w:t>4.1 End-to-end workflow</w:t>
      </w:r>
    </w:p>
    <w:p>
      <w:r>
        <w:drawing>
          <wp:inline xmlns:a="http://schemas.openxmlformats.org/drawingml/2006/main" xmlns:pic="http://schemas.openxmlformats.org/drawingml/2006/picture">
            <wp:extent cx="5897880" cy="2516950"/>
            <wp:docPr id="1" name="Picture 1" title="Content production and repair loop" descr="Workflow from Brief to Analyse, Story, Direct, Generate and Critique. Passed work proceeds to approval and assembly; failed shots return for targeted repair with no more than two automatic attempts."/>
            <wp:cNvGraphicFramePr>
              <a:graphicFrameLocks noChangeAspect="1"/>
            </wp:cNvGraphicFramePr>
            <a:graphic>
              <a:graphicData uri="http://schemas.openxmlformats.org/drawingml/2006/picture">
                <pic:pic>
                  <pic:nvPicPr>
                    <pic:cNvPr id="0" name="workflow.png"/>
                    <pic:cNvPicPr/>
                  </pic:nvPicPr>
                  <pic:blipFill>
                    <a:blip r:embed="rId11"/>
                    <a:stretch>
                      <a:fillRect/>
                    </a:stretch>
                  </pic:blipFill>
                  <pic:spPr>
                    <a:xfrm>
                      <a:off x="0" y="0"/>
                      <a:ext cx="5897880" cy="2516950"/>
                    </a:xfrm>
                    <a:prstGeom prst="rect"/>
                  </pic:spPr>
                </pic:pic>
              </a:graphicData>
            </a:graphic>
          </wp:inline>
        </w:drawing>
      </w:r>
    </w:p>
    <w:p>
      <w:pPr>
        <w:spacing w:after="160"/>
        <w:jc w:val="center"/>
      </w:pPr>
      <w:r>
        <w:t>Figure 1. Production stages and the targeted repair loop.</w:t>
      </w:r>
    </w:p>
    <w:p>
      <w:pPr>
        <w:pStyle w:val="ListBullet"/>
        <w:spacing w:after="80" w:line="264" w:lineRule="auto"/>
      </w:pPr>
      <w:r>
        <w:rPr>
          <w:rFonts w:ascii="Calibri" w:hAnsi="Calibri"/>
        </w:rPr>
        <w:t>Idea path: the Producer creates concepts directly from the brief.</w:t>
      </w:r>
    </w:p>
    <w:p>
      <w:pPr>
        <w:pStyle w:val="ListBullet"/>
        <w:spacing w:after="80" w:line="264" w:lineRule="auto"/>
      </w:pPr>
      <w:r>
        <w:rPr>
          <w:rFonts w:ascii="Calibri" w:hAnsi="Calibri"/>
        </w:rPr>
        <w:t>Inspiration path: deterministic extraction runs first; an OpenRouter vision model receives selected frames, transcript and metadata rather than the full raw video.</w:t>
      </w:r>
    </w:p>
    <w:p>
      <w:pPr>
        <w:pStyle w:val="ListBullet"/>
        <w:spacing w:after="80" w:line="264" w:lineRule="auto"/>
      </w:pPr>
      <w:r>
        <w:rPr>
          <w:rFonts w:ascii="Calibri" w:hAnsi="Calibri"/>
        </w:rPr>
        <w:t>Only approved story/dialogue is converted into shots and sent to paid media generation.</w:t>
      </w:r>
    </w:p>
    <w:p>
      <w:pPr>
        <w:pStyle w:val="ListBullet"/>
        <w:spacing w:after="80" w:line="264" w:lineRule="auto"/>
      </w:pPr>
      <w:r>
        <w:rPr>
          <w:rFonts w:ascii="Calibri" w:hAnsi="Calibri"/>
        </w:rPr>
        <w:t>The Critic diagnoses each failure and chooses the smallest repair scope: line, prompt, image, clip, audio or shot plan.</w:t>
      </w:r>
    </w:p>
    <w:p>
      <w:pPr>
        <w:pStyle w:val="ListBullet"/>
        <w:spacing w:after="80" w:line="264" w:lineRule="auto"/>
      </w:pPr>
      <w:r>
        <w:rPr>
          <w:rFonts w:ascii="Calibri" w:hAnsi="Calibri"/>
        </w:rPr>
        <w:t>After two automatic failures, the item becomes a human exception unless policy authorizes a different model.</w:t>
      </w:r>
    </w:p>
    <w:p>
      <w:pPr>
        <w:pStyle w:val="Heading1"/>
      </w:pPr>
      <w:r>
        <w:t>5. Functional requirements</w:t>
      </w:r>
    </w:p>
    <w:p>
      <w:pPr>
        <w:pStyle w:val="Heading2"/>
      </w:pPr>
      <w:r>
        <w:t>5.1 Brief and intake</w:t>
      </w:r>
    </w:p>
    <w:tbl>
      <w:tblPr>
        <w:tblStyle w:val="TableGrid"/>
        <w:tblW w:type="dxa" w:w="9360"/>
        <w:jc w:val="left"/>
        <w:tblLayout w:type="fixed"/>
        <w:tblLook w:firstColumn="1" w:firstRow="1" w:lastColumn="0" w:lastRow="0" w:noHBand="0" w:noVBand="1" w:val="04A0"/>
        <w:tblInd w:w="120" w:type="dxa"/>
      </w:tblPr>
      <w:tblGrid>
        <w:gridCol w:w="1000"/>
        <w:gridCol w:w="7010"/>
        <w:gridCol w:w="1350"/>
      </w:tblGrid>
      <w:tr>
        <w:trPr>
          <w:tblHeader w:val="true"/>
        </w:trPr>
        <w:tc>
          <w:tcPr>
            <w:tcW w:type="dxa" w:w="1000"/>
            <w:shd w:fill="F2F4F7"/>
            <w:vAlign w:val="center"/>
            <w:tcMar>
              <w:top w:w="80" w:type="dxa"/>
              <w:start w:w="120" w:type="dxa"/>
              <w:bottom w:w="80" w:type="dxa"/>
              <w:end w:w="120" w:type="dxa"/>
            </w:tcMar>
          </w:tcPr>
          <w:p>
            <w:pPr>
              <w:spacing w:after="0"/>
            </w:pPr>
            <w:r>
              <w:rPr>
                <w:rFonts w:ascii="Calibri" w:hAnsi="Calibri"/>
                <w:b/>
                <w:color w:val="163A5A"/>
                <w:sz w:val="18"/>
              </w:rPr>
              <w:t>ID</w:t>
            </w:r>
          </w:p>
        </w:tc>
        <w:tc>
          <w:tcPr>
            <w:tcW w:type="dxa" w:w="7010"/>
            <w:shd w:fill="F2F4F7"/>
            <w:vAlign w:val="center"/>
            <w:tcMar>
              <w:top w:w="80" w:type="dxa"/>
              <w:start w:w="120" w:type="dxa"/>
              <w:bottom w:w="80" w:type="dxa"/>
              <w:end w:w="120" w:type="dxa"/>
            </w:tcMar>
          </w:tcPr>
          <w:p>
            <w:pPr>
              <w:spacing w:after="0"/>
            </w:pPr>
            <w:r>
              <w:rPr>
                <w:rFonts w:ascii="Calibri" w:hAnsi="Calibri"/>
                <w:b/>
                <w:color w:val="163A5A"/>
                <w:sz w:val="18"/>
              </w:rPr>
              <w:t>Requirement</w:t>
            </w:r>
          </w:p>
        </w:tc>
        <w:tc>
          <w:tcPr>
            <w:tcW w:type="dxa" w:w="1350"/>
            <w:shd w:fill="F2F4F7"/>
            <w:vAlign w:val="center"/>
            <w:tcMar>
              <w:top w:w="80" w:type="dxa"/>
              <w:start w:w="120" w:type="dxa"/>
              <w:bottom w:w="80" w:type="dxa"/>
              <w:end w:w="120" w:type="dxa"/>
            </w:tcMar>
          </w:tcPr>
          <w:p>
            <w:pPr>
              <w:spacing w:after="0"/>
            </w:pPr>
            <w:r>
              <w:rPr>
                <w:rFonts w:ascii="Calibri" w:hAnsi="Calibri"/>
                <w:b/>
                <w:color w:val="163A5A"/>
                <w:sz w:val="18"/>
              </w:rPr>
              <w:t>Priority</w:t>
            </w:r>
          </w:p>
        </w:tc>
      </w:tr>
      <w:tr>
        <w:trPr>
          <w:cantSplit/>
        </w:trPr>
        <w:tc>
          <w:tcPr>
            <w:tcW w:type="dxa" w:w="1000"/>
            <w:vAlign w:val="top"/>
            <w:tcMar>
              <w:top w:w="80" w:type="dxa"/>
              <w:start w:w="120" w:type="dxa"/>
              <w:bottom w:w="80" w:type="dxa"/>
              <w:end w:w="120" w:type="dxa"/>
            </w:tcMar>
          </w:tcPr>
          <w:p>
            <w:pPr>
              <w:spacing w:after="0" w:line="252" w:lineRule="auto"/>
            </w:pPr>
            <w:r>
              <w:rPr>
                <w:rFonts w:ascii="Calibri" w:hAnsi="Calibri"/>
                <w:color w:val="000000"/>
                <w:sz w:val="18"/>
              </w:rPr>
              <w:t>BR-01</w:t>
            </w:r>
          </w:p>
        </w:tc>
        <w:tc>
          <w:tcPr>
            <w:tcW w:type="dxa" w:w="7010"/>
            <w:vAlign w:val="top"/>
            <w:tcMar>
              <w:top w:w="80" w:type="dxa"/>
              <w:start w:w="120" w:type="dxa"/>
              <w:bottom w:w="80" w:type="dxa"/>
              <w:end w:w="120" w:type="dxa"/>
            </w:tcMar>
          </w:tcPr>
          <w:p>
            <w:pPr>
              <w:spacing w:after="0" w:line="252" w:lineRule="auto"/>
            </w:pPr>
            <w:r>
              <w:rPr>
                <w:rFonts w:ascii="Calibri" w:hAnsi="Calibri"/>
                <w:color w:val="000000"/>
                <w:sz w:val="18"/>
              </w:rPr>
              <w:t>Allow a project to start from an idea with no media attachment.</w:t>
            </w:r>
          </w:p>
        </w:tc>
        <w:tc>
          <w:tcPr>
            <w:tcW w:type="dxa" w:w="1350"/>
            <w:vAlign w:val="top"/>
            <w:tcMar>
              <w:top w:w="80" w:type="dxa"/>
              <w:start w:w="120" w:type="dxa"/>
              <w:bottom w:w="80" w:type="dxa"/>
              <w:end w:w="120" w:type="dxa"/>
            </w:tcMar>
          </w:tcPr>
          <w:p>
            <w:pPr>
              <w:spacing w:after="0" w:line="252" w:lineRule="auto"/>
            </w:pPr>
            <w:r>
              <w:rPr>
                <w:rFonts w:ascii="Calibri" w:hAnsi="Calibri"/>
                <w:color w:val="000000"/>
                <w:sz w:val="18"/>
              </w:rPr>
              <w:t>Must</w:t>
            </w:r>
          </w:p>
        </w:tc>
      </w:tr>
      <w:tr>
        <w:trPr>
          <w:cantSplit/>
        </w:trPr>
        <w:tc>
          <w:tcPr>
            <w:tcW w:type="dxa" w:w="1000"/>
            <w:vAlign w:val="top"/>
            <w:tcMar>
              <w:top w:w="80" w:type="dxa"/>
              <w:start w:w="120" w:type="dxa"/>
              <w:bottom w:w="80" w:type="dxa"/>
              <w:end w:w="120" w:type="dxa"/>
            </w:tcMar>
          </w:tcPr>
          <w:p>
            <w:pPr>
              <w:spacing w:after="0" w:line="252" w:lineRule="auto"/>
            </w:pPr>
            <w:r>
              <w:rPr>
                <w:rFonts w:ascii="Calibri" w:hAnsi="Calibri"/>
                <w:color w:val="000000"/>
                <w:sz w:val="18"/>
              </w:rPr>
              <w:t>BR-02</w:t>
            </w:r>
          </w:p>
        </w:tc>
        <w:tc>
          <w:tcPr>
            <w:tcW w:type="dxa" w:w="7010"/>
            <w:vAlign w:val="top"/>
            <w:tcMar>
              <w:top w:w="80" w:type="dxa"/>
              <w:start w:w="120" w:type="dxa"/>
              <w:bottom w:w="80" w:type="dxa"/>
              <w:end w:w="120" w:type="dxa"/>
            </w:tcMar>
          </w:tcPr>
          <w:p>
            <w:pPr>
              <w:spacing w:after="0" w:line="252" w:lineRule="auto"/>
            </w:pPr>
            <w:r>
              <w:rPr>
                <w:rFonts w:ascii="Calibri" w:hAnsi="Calibri"/>
                <w:color w:val="000000"/>
                <w:sz w:val="18"/>
              </w:rPr>
              <w:t>Allow an inspiration video only when validated duration is strictly below 5 minutes.</w:t>
            </w:r>
          </w:p>
        </w:tc>
        <w:tc>
          <w:tcPr>
            <w:tcW w:type="dxa" w:w="1350"/>
            <w:vAlign w:val="top"/>
            <w:tcMar>
              <w:top w:w="80" w:type="dxa"/>
              <w:start w:w="120" w:type="dxa"/>
              <w:bottom w:w="80" w:type="dxa"/>
              <w:end w:w="120" w:type="dxa"/>
            </w:tcMar>
          </w:tcPr>
          <w:p>
            <w:pPr>
              <w:spacing w:after="0" w:line="252" w:lineRule="auto"/>
            </w:pPr>
            <w:r>
              <w:rPr>
                <w:rFonts w:ascii="Calibri" w:hAnsi="Calibri"/>
                <w:color w:val="000000"/>
                <w:sz w:val="18"/>
              </w:rPr>
              <w:t>Must</w:t>
            </w:r>
          </w:p>
        </w:tc>
      </w:tr>
      <w:tr>
        <w:trPr>
          <w:cantSplit/>
        </w:trPr>
        <w:tc>
          <w:tcPr>
            <w:tcW w:type="dxa" w:w="1000"/>
            <w:vAlign w:val="top"/>
            <w:tcMar>
              <w:top w:w="80" w:type="dxa"/>
              <w:start w:w="120" w:type="dxa"/>
              <w:bottom w:w="80" w:type="dxa"/>
              <w:end w:w="120" w:type="dxa"/>
            </w:tcMar>
          </w:tcPr>
          <w:p>
            <w:pPr>
              <w:spacing w:after="0" w:line="252" w:lineRule="auto"/>
            </w:pPr>
            <w:r>
              <w:rPr>
                <w:rFonts w:ascii="Calibri" w:hAnsi="Calibri"/>
                <w:color w:val="000000"/>
                <w:sz w:val="18"/>
              </w:rPr>
              <w:t>BR-03</w:t>
            </w:r>
          </w:p>
        </w:tc>
        <w:tc>
          <w:tcPr>
            <w:tcW w:type="dxa" w:w="7010"/>
            <w:vAlign w:val="top"/>
            <w:tcMar>
              <w:top w:w="80" w:type="dxa"/>
              <w:start w:w="120" w:type="dxa"/>
              <w:bottom w:w="80" w:type="dxa"/>
              <w:end w:w="120" w:type="dxa"/>
            </w:tcMar>
          </w:tcPr>
          <w:p>
            <w:pPr>
              <w:spacing w:after="0" w:line="252" w:lineRule="auto"/>
            </w:pPr>
            <w:r>
              <w:rPr>
                <w:rFonts w:ascii="Calibri" w:hAnsi="Calibri"/>
                <w:color w:val="000000"/>
                <w:sz w:val="18"/>
              </w:rPr>
              <w:t>Read duration from server-side media metadata; do not trust a client-supplied duration.</w:t>
            </w:r>
          </w:p>
        </w:tc>
        <w:tc>
          <w:tcPr>
            <w:tcW w:type="dxa" w:w="1350"/>
            <w:vAlign w:val="top"/>
            <w:tcMar>
              <w:top w:w="80" w:type="dxa"/>
              <w:start w:w="120" w:type="dxa"/>
              <w:bottom w:w="80" w:type="dxa"/>
              <w:end w:w="120" w:type="dxa"/>
            </w:tcMar>
          </w:tcPr>
          <w:p>
            <w:pPr>
              <w:spacing w:after="0" w:line="252" w:lineRule="auto"/>
            </w:pPr>
            <w:r>
              <w:rPr>
                <w:rFonts w:ascii="Calibri" w:hAnsi="Calibri"/>
                <w:color w:val="000000"/>
                <w:sz w:val="18"/>
              </w:rPr>
              <w:t>Must</w:t>
            </w:r>
          </w:p>
        </w:tc>
      </w:tr>
      <w:tr>
        <w:trPr>
          <w:cantSplit/>
        </w:trPr>
        <w:tc>
          <w:tcPr>
            <w:tcW w:type="dxa" w:w="1000"/>
            <w:vAlign w:val="top"/>
            <w:tcMar>
              <w:top w:w="80" w:type="dxa"/>
              <w:start w:w="120" w:type="dxa"/>
              <w:bottom w:w="80" w:type="dxa"/>
              <w:end w:w="120" w:type="dxa"/>
            </w:tcMar>
          </w:tcPr>
          <w:p>
            <w:pPr>
              <w:spacing w:after="0" w:line="252" w:lineRule="auto"/>
            </w:pPr>
            <w:r>
              <w:rPr>
                <w:rFonts w:ascii="Calibri" w:hAnsi="Calibri"/>
                <w:color w:val="000000"/>
                <w:sz w:val="18"/>
              </w:rPr>
              <w:t>BR-04</w:t>
            </w:r>
          </w:p>
        </w:tc>
        <w:tc>
          <w:tcPr>
            <w:tcW w:type="dxa" w:w="7010"/>
            <w:vAlign w:val="top"/>
            <w:tcMar>
              <w:top w:w="80" w:type="dxa"/>
              <w:start w:w="120" w:type="dxa"/>
              <w:bottom w:w="80" w:type="dxa"/>
              <w:end w:w="120" w:type="dxa"/>
            </w:tcMar>
          </w:tcPr>
          <w:p>
            <w:pPr>
              <w:spacing w:after="0" w:line="252" w:lineRule="auto"/>
            </w:pPr>
            <w:r>
              <w:rPr>
                <w:rFonts w:ascii="Calibri" w:hAnsi="Calibri"/>
                <w:color w:val="000000"/>
                <w:sz w:val="18"/>
              </w:rPr>
              <w:t>Reject non-decodable media, unsupported codecs and files at or above the duration limit with a clear reason.</w:t>
            </w:r>
          </w:p>
        </w:tc>
        <w:tc>
          <w:tcPr>
            <w:tcW w:type="dxa" w:w="1350"/>
            <w:vAlign w:val="top"/>
            <w:tcMar>
              <w:top w:w="80" w:type="dxa"/>
              <w:start w:w="120" w:type="dxa"/>
              <w:bottom w:w="80" w:type="dxa"/>
              <w:end w:w="120" w:type="dxa"/>
            </w:tcMar>
          </w:tcPr>
          <w:p>
            <w:pPr>
              <w:spacing w:after="0" w:line="252" w:lineRule="auto"/>
            </w:pPr>
            <w:r>
              <w:rPr>
                <w:rFonts w:ascii="Calibri" w:hAnsi="Calibri"/>
                <w:color w:val="000000"/>
                <w:sz w:val="18"/>
              </w:rPr>
              <w:t>Must</w:t>
            </w:r>
          </w:p>
        </w:tc>
      </w:tr>
      <w:tr>
        <w:trPr>
          <w:cantSplit/>
        </w:trPr>
        <w:tc>
          <w:tcPr>
            <w:tcW w:type="dxa" w:w="1000"/>
            <w:vAlign w:val="top"/>
            <w:tcMar>
              <w:top w:w="80" w:type="dxa"/>
              <w:start w:w="120" w:type="dxa"/>
              <w:bottom w:w="80" w:type="dxa"/>
              <w:end w:w="120" w:type="dxa"/>
            </w:tcMar>
          </w:tcPr>
          <w:p>
            <w:pPr>
              <w:spacing w:after="0" w:line="252" w:lineRule="auto"/>
            </w:pPr>
            <w:r>
              <w:rPr>
                <w:rFonts w:ascii="Calibri" w:hAnsi="Calibri"/>
                <w:color w:val="000000"/>
                <w:sz w:val="18"/>
              </w:rPr>
              <w:t>BR-05</w:t>
            </w:r>
          </w:p>
        </w:tc>
        <w:tc>
          <w:tcPr>
            <w:tcW w:type="dxa" w:w="7010"/>
            <w:vAlign w:val="top"/>
            <w:tcMar>
              <w:top w:w="80" w:type="dxa"/>
              <w:start w:w="120" w:type="dxa"/>
              <w:bottom w:w="80" w:type="dxa"/>
              <w:end w:w="120" w:type="dxa"/>
            </w:tcMar>
          </w:tcPr>
          <w:p>
            <w:pPr>
              <w:spacing w:after="0" w:line="252" w:lineRule="auto"/>
            </w:pPr>
            <w:r>
              <w:rPr>
                <w:rFonts w:ascii="Calibri" w:hAnsi="Calibri"/>
                <w:color w:val="000000"/>
                <w:sz w:val="18"/>
              </w:rPr>
              <w:t>Capture target length, language, aspect ratio, genre, audience, tone, quality mode and budget ceiling.</w:t>
            </w:r>
          </w:p>
        </w:tc>
        <w:tc>
          <w:tcPr>
            <w:tcW w:type="dxa" w:w="1350"/>
            <w:vAlign w:val="top"/>
            <w:tcMar>
              <w:top w:w="80" w:type="dxa"/>
              <w:start w:w="120" w:type="dxa"/>
              <w:bottom w:w="80" w:type="dxa"/>
              <w:end w:w="120" w:type="dxa"/>
            </w:tcMar>
          </w:tcPr>
          <w:p>
            <w:pPr>
              <w:spacing w:after="0" w:line="252" w:lineRule="auto"/>
            </w:pPr>
            <w:r>
              <w:rPr>
                <w:rFonts w:ascii="Calibri" w:hAnsi="Calibri"/>
                <w:color w:val="000000"/>
                <w:sz w:val="18"/>
              </w:rPr>
              <w:t>Must</w:t>
            </w:r>
          </w:p>
        </w:tc>
      </w:tr>
      <w:tr>
        <w:trPr>
          <w:cantSplit/>
        </w:trPr>
        <w:tc>
          <w:tcPr>
            <w:tcW w:type="dxa" w:w="1000"/>
            <w:vAlign w:val="top"/>
            <w:tcMar>
              <w:top w:w="80" w:type="dxa"/>
              <w:start w:w="120" w:type="dxa"/>
              <w:bottom w:w="80" w:type="dxa"/>
              <w:end w:w="120" w:type="dxa"/>
            </w:tcMar>
          </w:tcPr>
          <w:p>
            <w:pPr>
              <w:spacing w:after="0" w:line="252" w:lineRule="auto"/>
            </w:pPr>
            <w:r>
              <w:rPr>
                <w:rFonts w:ascii="Calibri" w:hAnsi="Calibri"/>
                <w:color w:val="000000"/>
                <w:sz w:val="18"/>
              </w:rPr>
              <w:t>BR-06</w:t>
            </w:r>
          </w:p>
        </w:tc>
        <w:tc>
          <w:tcPr>
            <w:tcW w:type="dxa" w:w="7010"/>
            <w:vAlign w:val="top"/>
            <w:tcMar>
              <w:top w:w="80" w:type="dxa"/>
              <w:start w:w="120" w:type="dxa"/>
              <w:bottom w:w="80" w:type="dxa"/>
              <w:end w:w="120" w:type="dxa"/>
            </w:tcMar>
          </w:tcPr>
          <w:p>
            <w:pPr>
              <w:spacing w:after="0" w:line="252" w:lineRule="auto"/>
            </w:pPr>
            <w:r>
              <w:rPr>
                <w:rFonts w:ascii="Calibri" w:hAnsi="Calibri"/>
                <w:color w:val="000000"/>
                <w:sz w:val="18"/>
              </w:rPr>
              <w:t>Permit optional script, images, audio, documents and brand rules as additional references.</w:t>
            </w:r>
          </w:p>
        </w:tc>
        <w:tc>
          <w:tcPr>
            <w:tcW w:type="dxa" w:w="1350"/>
            <w:vAlign w:val="top"/>
            <w:tcMar>
              <w:top w:w="80" w:type="dxa"/>
              <w:start w:w="120" w:type="dxa"/>
              <w:bottom w:w="80" w:type="dxa"/>
              <w:end w:w="120" w:type="dxa"/>
            </w:tcMar>
          </w:tcPr>
          <w:p>
            <w:pPr>
              <w:spacing w:after="0" w:line="252" w:lineRule="auto"/>
            </w:pPr>
            <w:r>
              <w:rPr>
                <w:rFonts w:ascii="Calibri" w:hAnsi="Calibri"/>
                <w:color w:val="000000"/>
                <w:sz w:val="18"/>
              </w:rPr>
              <w:t>Should</w:t>
            </w:r>
          </w:p>
        </w:tc>
      </w:tr>
      <w:tr>
        <w:trPr>
          <w:cantSplit/>
        </w:trPr>
        <w:tc>
          <w:tcPr>
            <w:tcW w:type="dxa" w:w="1000"/>
            <w:vAlign w:val="top"/>
            <w:tcMar>
              <w:top w:w="80" w:type="dxa"/>
              <w:start w:w="120" w:type="dxa"/>
              <w:bottom w:w="80" w:type="dxa"/>
              <w:end w:w="120" w:type="dxa"/>
            </w:tcMar>
          </w:tcPr>
          <w:p>
            <w:pPr>
              <w:spacing w:after="0" w:line="252" w:lineRule="auto"/>
            </w:pPr>
            <w:r>
              <w:rPr>
                <w:rFonts w:ascii="Calibri" w:hAnsi="Calibri"/>
                <w:color w:val="000000"/>
                <w:sz w:val="18"/>
              </w:rPr>
              <w:t>BR-07</w:t>
            </w:r>
          </w:p>
        </w:tc>
        <w:tc>
          <w:tcPr>
            <w:tcW w:type="dxa" w:w="7010"/>
            <w:vAlign w:val="top"/>
            <w:tcMar>
              <w:top w:w="80" w:type="dxa"/>
              <w:start w:w="120" w:type="dxa"/>
              <w:bottom w:w="80" w:type="dxa"/>
              <w:end w:w="120" w:type="dxa"/>
            </w:tcMar>
          </w:tcPr>
          <w:p>
            <w:pPr>
              <w:spacing w:after="0" w:line="252" w:lineRule="auto"/>
            </w:pPr>
            <w:r>
              <w:rPr>
                <w:rFonts w:ascii="Calibri" w:hAnsi="Calibri"/>
                <w:color w:val="000000"/>
                <w:sz w:val="18"/>
              </w:rPr>
              <w:t>Create an immutable source record and checksums for every accepted reference.</w:t>
            </w:r>
          </w:p>
        </w:tc>
        <w:tc>
          <w:tcPr>
            <w:tcW w:type="dxa" w:w="1350"/>
            <w:vAlign w:val="top"/>
            <w:tcMar>
              <w:top w:w="80" w:type="dxa"/>
              <w:start w:w="120" w:type="dxa"/>
              <w:bottom w:w="80" w:type="dxa"/>
              <w:end w:w="120" w:type="dxa"/>
            </w:tcMar>
          </w:tcPr>
          <w:p>
            <w:pPr>
              <w:spacing w:after="0" w:line="252" w:lineRule="auto"/>
            </w:pPr>
            <w:r>
              <w:rPr>
                <w:rFonts w:ascii="Calibri" w:hAnsi="Calibri"/>
                <w:color w:val="000000"/>
                <w:sz w:val="18"/>
              </w:rPr>
              <w:t>Must</w:t>
            </w:r>
          </w:p>
        </w:tc>
      </w:tr>
    </w:tbl>
    <w:p>
      <w:pPr>
        <w:spacing w:after="0"/>
      </w:pPr>
    </w:p>
    <w:p>
      <w:pPr>
        <w:pStyle w:val="Heading2"/>
      </w:pPr>
      <w:r>
        <w:t>5.2 Inspiration-video analysis</w:t>
      </w:r>
    </w:p>
    <w:p>
      <w:r>
        <w:t>To minimize dependency, MVP analysis will not require a direct raw-video cloud API. The media worker extracts objective evidence locally, and OpenRouter models analyse a structured evidence bundle.</w:t>
      </w:r>
    </w:p>
    <w:tbl>
      <w:tblPr>
        <w:tblStyle w:val="TableGrid"/>
        <w:tblW w:type="dxa" w:w="9360"/>
        <w:jc w:val="left"/>
        <w:tblLayout w:type="fixed"/>
        <w:tblLook w:firstColumn="1" w:firstRow="1" w:lastColumn="0" w:lastRow="0" w:noHBand="0" w:noVBand="1" w:val="04A0"/>
        <w:tblInd w:w="120" w:type="dxa"/>
      </w:tblPr>
      <w:tblGrid>
        <w:gridCol w:w="1000"/>
        <w:gridCol w:w="4930"/>
        <w:gridCol w:w="3430"/>
      </w:tblGrid>
      <w:tr>
        <w:trPr>
          <w:tblHeader w:val="true"/>
        </w:trPr>
        <w:tc>
          <w:tcPr>
            <w:tcW w:type="dxa" w:w="1000"/>
            <w:shd w:fill="F2F4F7"/>
            <w:vAlign w:val="center"/>
            <w:tcMar>
              <w:top w:w="80" w:type="dxa"/>
              <w:start w:w="120" w:type="dxa"/>
              <w:bottom w:w="80" w:type="dxa"/>
              <w:end w:w="120" w:type="dxa"/>
            </w:tcMar>
          </w:tcPr>
          <w:p>
            <w:pPr>
              <w:spacing w:after="0"/>
            </w:pPr>
            <w:r>
              <w:rPr>
                <w:rFonts w:ascii="Calibri" w:hAnsi="Calibri"/>
                <w:b/>
                <w:color w:val="163A5A"/>
                <w:sz w:val="18"/>
              </w:rPr>
              <w:t>ID</w:t>
            </w:r>
          </w:p>
        </w:tc>
        <w:tc>
          <w:tcPr>
            <w:tcW w:type="dxa" w:w="4930"/>
            <w:shd w:fill="F2F4F7"/>
            <w:vAlign w:val="center"/>
            <w:tcMar>
              <w:top w:w="80" w:type="dxa"/>
              <w:start w:w="120" w:type="dxa"/>
              <w:bottom w:w="80" w:type="dxa"/>
              <w:end w:w="120" w:type="dxa"/>
            </w:tcMar>
          </w:tcPr>
          <w:p>
            <w:pPr>
              <w:spacing w:after="0"/>
            </w:pPr>
            <w:r>
              <w:rPr>
                <w:rFonts w:ascii="Calibri" w:hAnsi="Calibri"/>
                <w:b/>
                <w:color w:val="163A5A"/>
                <w:sz w:val="18"/>
              </w:rPr>
              <w:t>Requirement</w:t>
            </w:r>
          </w:p>
        </w:tc>
        <w:tc>
          <w:tcPr>
            <w:tcW w:type="dxa" w:w="3430"/>
            <w:shd w:fill="F2F4F7"/>
            <w:vAlign w:val="center"/>
            <w:tcMar>
              <w:top w:w="80" w:type="dxa"/>
              <w:start w:w="120" w:type="dxa"/>
              <w:bottom w:w="80" w:type="dxa"/>
              <w:end w:w="120" w:type="dxa"/>
            </w:tcMar>
          </w:tcPr>
          <w:p>
            <w:pPr>
              <w:spacing w:after="0"/>
            </w:pPr>
            <w:r>
              <w:rPr>
                <w:rFonts w:ascii="Calibri" w:hAnsi="Calibri"/>
                <w:b/>
                <w:color w:val="163A5A"/>
                <w:sz w:val="18"/>
              </w:rPr>
              <w:t>Acceptance behaviour</w:t>
            </w:r>
          </w:p>
        </w:tc>
      </w:tr>
      <w:tr>
        <w:trPr>
          <w:cantSplit/>
        </w:trPr>
        <w:tc>
          <w:tcPr>
            <w:tcW w:type="dxa" w:w="1000"/>
            <w:vAlign w:val="top"/>
            <w:tcMar>
              <w:top w:w="80" w:type="dxa"/>
              <w:start w:w="120" w:type="dxa"/>
              <w:bottom w:w="80" w:type="dxa"/>
              <w:end w:w="120" w:type="dxa"/>
            </w:tcMar>
          </w:tcPr>
          <w:p>
            <w:pPr>
              <w:spacing w:after="0" w:line="252" w:lineRule="auto"/>
            </w:pPr>
            <w:r>
              <w:rPr>
                <w:rFonts w:ascii="Calibri" w:hAnsi="Calibri"/>
                <w:color w:val="000000"/>
                <w:sz w:val="18"/>
              </w:rPr>
              <w:t>AN-01</w:t>
            </w:r>
          </w:p>
        </w:tc>
        <w:tc>
          <w:tcPr>
            <w:tcW w:type="dxa" w:w="4930"/>
            <w:vAlign w:val="top"/>
            <w:tcMar>
              <w:top w:w="80" w:type="dxa"/>
              <w:start w:w="120" w:type="dxa"/>
              <w:bottom w:w="80" w:type="dxa"/>
              <w:end w:w="120" w:type="dxa"/>
            </w:tcMar>
          </w:tcPr>
          <w:p>
            <w:pPr>
              <w:spacing w:after="0" w:line="252" w:lineRule="auto"/>
            </w:pPr>
            <w:r>
              <w:rPr>
                <w:rFonts w:ascii="Calibri" w:hAnsi="Calibri"/>
                <w:color w:val="000000"/>
                <w:sz w:val="18"/>
              </w:rPr>
              <w:t>Extract codec, frame rate, dimensions, audio presence and exact duration.</w:t>
            </w:r>
          </w:p>
        </w:tc>
        <w:tc>
          <w:tcPr>
            <w:tcW w:type="dxa" w:w="3430"/>
            <w:vAlign w:val="top"/>
            <w:tcMar>
              <w:top w:w="80" w:type="dxa"/>
              <w:start w:w="120" w:type="dxa"/>
              <w:bottom w:w="80" w:type="dxa"/>
              <w:end w:w="120" w:type="dxa"/>
            </w:tcMar>
          </w:tcPr>
          <w:p>
            <w:pPr>
              <w:spacing w:after="0" w:line="252" w:lineRule="auto"/>
            </w:pPr>
            <w:r>
              <w:rPr>
                <w:rFonts w:ascii="Calibri" w:hAnsi="Calibri"/>
                <w:color w:val="000000"/>
                <w:sz w:val="18"/>
              </w:rPr>
              <w:t>Metadata stored before analysis begins.</w:t>
            </w:r>
          </w:p>
        </w:tc>
      </w:tr>
      <w:tr>
        <w:trPr>
          <w:cantSplit/>
        </w:trPr>
        <w:tc>
          <w:tcPr>
            <w:tcW w:type="dxa" w:w="1000"/>
            <w:vAlign w:val="top"/>
            <w:tcMar>
              <w:top w:w="80" w:type="dxa"/>
              <w:start w:w="120" w:type="dxa"/>
              <w:bottom w:w="80" w:type="dxa"/>
              <w:end w:w="120" w:type="dxa"/>
            </w:tcMar>
          </w:tcPr>
          <w:p>
            <w:pPr>
              <w:spacing w:after="0" w:line="252" w:lineRule="auto"/>
            </w:pPr>
            <w:r>
              <w:rPr>
                <w:rFonts w:ascii="Calibri" w:hAnsi="Calibri"/>
                <w:color w:val="000000"/>
                <w:sz w:val="18"/>
              </w:rPr>
              <w:t>AN-02</w:t>
            </w:r>
          </w:p>
        </w:tc>
        <w:tc>
          <w:tcPr>
            <w:tcW w:type="dxa" w:w="4930"/>
            <w:vAlign w:val="top"/>
            <w:tcMar>
              <w:top w:w="80" w:type="dxa"/>
              <w:start w:w="120" w:type="dxa"/>
              <w:bottom w:w="80" w:type="dxa"/>
              <w:end w:w="120" w:type="dxa"/>
            </w:tcMar>
          </w:tcPr>
          <w:p>
            <w:pPr>
              <w:spacing w:after="0" w:line="252" w:lineRule="auto"/>
            </w:pPr>
            <w:r>
              <w:rPr>
                <w:rFonts w:ascii="Calibri" w:hAnsi="Calibri"/>
                <w:color w:val="000000"/>
                <w:sz w:val="18"/>
              </w:rPr>
              <w:t>Detect scene/shot boundaries and select representative frames.</w:t>
            </w:r>
          </w:p>
        </w:tc>
        <w:tc>
          <w:tcPr>
            <w:tcW w:type="dxa" w:w="3430"/>
            <w:vAlign w:val="top"/>
            <w:tcMar>
              <w:top w:w="80" w:type="dxa"/>
              <w:start w:w="120" w:type="dxa"/>
              <w:bottom w:w="80" w:type="dxa"/>
              <w:end w:w="120" w:type="dxa"/>
            </w:tcMar>
          </w:tcPr>
          <w:p>
            <w:pPr>
              <w:spacing w:after="0" w:line="252" w:lineRule="auto"/>
            </w:pPr>
            <w:r>
              <w:rPr>
                <w:rFonts w:ascii="Calibri" w:hAnsi="Calibri"/>
                <w:color w:val="000000"/>
                <w:sz w:val="18"/>
              </w:rPr>
              <w:t>Every detected segment has timestamps and at least one frame reference.</w:t>
            </w:r>
          </w:p>
        </w:tc>
      </w:tr>
      <w:tr>
        <w:trPr>
          <w:cantSplit/>
        </w:trPr>
        <w:tc>
          <w:tcPr>
            <w:tcW w:type="dxa" w:w="1000"/>
            <w:vAlign w:val="top"/>
            <w:tcMar>
              <w:top w:w="80" w:type="dxa"/>
              <w:start w:w="120" w:type="dxa"/>
              <w:bottom w:w="80" w:type="dxa"/>
              <w:end w:w="120" w:type="dxa"/>
            </w:tcMar>
          </w:tcPr>
          <w:p>
            <w:pPr>
              <w:spacing w:after="0" w:line="252" w:lineRule="auto"/>
            </w:pPr>
            <w:r>
              <w:rPr>
                <w:rFonts w:ascii="Calibri" w:hAnsi="Calibri"/>
                <w:color w:val="000000"/>
                <w:sz w:val="18"/>
              </w:rPr>
              <w:t>AN-03</w:t>
            </w:r>
          </w:p>
        </w:tc>
        <w:tc>
          <w:tcPr>
            <w:tcW w:type="dxa" w:w="4930"/>
            <w:vAlign w:val="top"/>
            <w:tcMar>
              <w:top w:w="80" w:type="dxa"/>
              <w:start w:w="120" w:type="dxa"/>
              <w:bottom w:w="80" w:type="dxa"/>
              <w:end w:w="120" w:type="dxa"/>
            </w:tcMar>
          </w:tcPr>
          <w:p>
            <w:pPr>
              <w:spacing w:after="0" w:line="252" w:lineRule="auto"/>
            </w:pPr>
            <w:r>
              <w:rPr>
                <w:rFonts w:ascii="Calibri" w:hAnsi="Calibri"/>
                <w:color w:val="000000"/>
                <w:sz w:val="18"/>
              </w:rPr>
              <w:t>Extract a timestamped transcript and identify speech, narration, music and silence where feasible.</w:t>
            </w:r>
          </w:p>
        </w:tc>
        <w:tc>
          <w:tcPr>
            <w:tcW w:type="dxa" w:w="3430"/>
            <w:vAlign w:val="top"/>
            <w:tcMar>
              <w:top w:w="80" w:type="dxa"/>
              <w:start w:w="120" w:type="dxa"/>
              <w:bottom w:w="80" w:type="dxa"/>
              <w:end w:w="120" w:type="dxa"/>
            </w:tcMar>
          </w:tcPr>
          <w:p>
            <w:pPr>
              <w:spacing w:after="0" w:line="252" w:lineRule="auto"/>
            </w:pPr>
            <w:r>
              <w:rPr>
                <w:rFonts w:ascii="Calibri" w:hAnsi="Calibri"/>
                <w:color w:val="000000"/>
                <w:sz w:val="18"/>
              </w:rPr>
              <w:t>Transcript or explicit no-speech result is stored.</w:t>
            </w:r>
          </w:p>
        </w:tc>
      </w:tr>
      <w:tr>
        <w:trPr>
          <w:cantSplit/>
        </w:trPr>
        <w:tc>
          <w:tcPr>
            <w:tcW w:type="dxa" w:w="1000"/>
            <w:vAlign w:val="top"/>
            <w:tcMar>
              <w:top w:w="80" w:type="dxa"/>
              <w:start w:w="120" w:type="dxa"/>
              <w:bottom w:w="80" w:type="dxa"/>
              <w:end w:w="120" w:type="dxa"/>
            </w:tcMar>
          </w:tcPr>
          <w:p>
            <w:pPr>
              <w:spacing w:after="0" w:line="252" w:lineRule="auto"/>
            </w:pPr>
            <w:r>
              <w:rPr>
                <w:rFonts w:ascii="Calibri" w:hAnsi="Calibri"/>
                <w:color w:val="000000"/>
                <w:sz w:val="18"/>
              </w:rPr>
              <w:t>AN-04</w:t>
            </w:r>
          </w:p>
        </w:tc>
        <w:tc>
          <w:tcPr>
            <w:tcW w:type="dxa" w:w="4930"/>
            <w:vAlign w:val="top"/>
            <w:tcMar>
              <w:top w:w="80" w:type="dxa"/>
              <w:start w:w="120" w:type="dxa"/>
              <w:bottom w:w="80" w:type="dxa"/>
              <w:end w:w="120" w:type="dxa"/>
            </w:tcMar>
          </w:tcPr>
          <w:p>
            <w:pPr>
              <w:spacing w:after="0" w:line="252" w:lineRule="auto"/>
            </w:pPr>
            <w:r>
              <w:rPr>
                <w:rFonts w:ascii="Calibri" w:hAnsi="Calibri"/>
                <w:color w:val="000000"/>
                <w:sz w:val="18"/>
              </w:rPr>
              <w:t>Send frames, transcript and metadata to a stage-approved multimodal model through OpenRouter.</w:t>
            </w:r>
          </w:p>
        </w:tc>
        <w:tc>
          <w:tcPr>
            <w:tcW w:type="dxa" w:w="3430"/>
            <w:vAlign w:val="top"/>
            <w:tcMar>
              <w:top w:w="80" w:type="dxa"/>
              <w:start w:w="120" w:type="dxa"/>
              <w:bottom w:w="80" w:type="dxa"/>
              <w:end w:w="120" w:type="dxa"/>
            </w:tcMar>
          </w:tcPr>
          <w:p>
            <w:pPr>
              <w:spacing w:after="0" w:line="252" w:lineRule="auto"/>
            </w:pPr>
            <w:r>
              <w:rPr>
                <w:rFonts w:ascii="Calibri" w:hAnsi="Calibri"/>
                <w:color w:val="000000"/>
                <w:sz w:val="18"/>
              </w:rPr>
              <w:t>No raw-video capability is assumed in the provider contract.</w:t>
            </w:r>
          </w:p>
        </w:tc>
      </w:tr>
      <w:tr>
        <w:trPr>
          <w:cantSplit/>
        </w:trPr>
        <w:tc>
          <w:tcPr>
            <w:tcW w:type="dxa" w:w="1000"/>
            <w:vAlign w:val="top"/>
            <w:tcMar>
              <w:top w:w="80" w:type="dxa"/>
              <w:start w:w="120" w:type="dxa"/>
              <w:bottom w:w="80" w:type="dxa"/>
              <w:end w:w="120" w:type="dxa"/>
            </w:tcMar>
          </w:tcPr>
          <w:p>
            <w:pPr>
              <w:spacing w:after="0" w:line="252" w:lineRule="auto"/>
            </w:pPr>
            <w:r>
              <w:rPr>
                <w:rFonts w:ascii="Calibri" w:hAnsi="Calibri"/>
                <w:color w:val="000000"/>
                <w:sz w:val="18"/>
              </w:rPr>
              <w:t>AN-05</w:t>
            </w:r>
          </w:p>
        </w:tc>
        <w:tc>
          <w:tcPr>
            <w:tcW w:type="dxa" w:w="4930"/>
            <w:vAlign w:val="top"/>
            <w:tcMar>
              <w:top w:w="80" w:type="dxa"/>
              <w:start w:w="120" w:type="dxa"/>
              <w:bottom w:w="80" w:type="dxa"/>
              <w:end w:w="120" w:type="dxa"/>
            </w:tcMar>
          </w:tcPr>
          <w:p>
            <w:pPr>
              <w:spacing w:after="0" w:line="252" w:lineRule="auto"/>
            </w:pPr>
            <w:r>
              <w:rPr>
                <w:rFonts w:ascii="Calibri" w:hAnsi="Calibri"/>
                <w:color w:val="000000"/>
                <w:sz w:val="18"/>
              </w:rPr>
              <w:t>Produce hook, synopsis, story beats, characters, locations, pacing, visual language, camera patterns and audio style.</w:t>
            </w:r>
          </w:p>
        </w:tc>
        <w:tc>
          <w:tcPr>
            <w:tcW w:type="dxa" w:w="3430"/>
            <w:vAlign w:val="top"/>
            <w:tcMar>
              <w:top w:w="80" w:type="dxa"/>
              <w:start w:w="120" w:type="dxa"/>
              <w:bottom w:w="80" w:type="dxa"/>
              <w:end w:w="120" w:type="dxa"/>
            </w:tcMar>
          </w:tcPr>
          <w:p>
            <w:pPr>
              <w:spacing w:after="0" w:line="252" w:lineRule="auto"/>
            </w:pPr>
            <w:r>
              <w:rPr>
                <w:rFonts w:ascii="Calibri" w:hAnsi="Calibri"/>
                <w:color w:val="000000"/>
                <w:sz w:val="18"/>
              </w:rPr>
              <w:t>Output conforms to the versioned analysis schema.</w:t>
            </w:r>
          </w:p>
        </w:tc>
      </w:tr>
      <w:tr>
        <w:trPr>
          <w:cantSplit/>
        </w:trPr>
        <w:tc>
          <w:tcPr>
            <w:tcW w:type="dxa" w:w="1000"/>
            <w:vAlign w:val="top"/>
            <w:tcMar>
              <w:top w:w="80" w:type="dxa"/>
              <w:start w:w="120" w:type="dxa"/>
              <w:bottom w:w="80" w:type="dxa"/>
              <w:end w:w="120" w:type="dxa"/>
            </w:tcMar>
          </w:tcPr>
          <w:p>
            <w:pPr>
              <w:spacing w:after="0" w:line="252" w:lineRule="auto"/>
            </w:pPr>
            <w:r>
              <w:rPr>
                <w:rFonts w:ascii="Calibri" w:hAnsi="Calibri"/>
                <w:color w:val="000000"/>
                <w:sz w:val="18"/>
              </w:rPr>
              <w:t>AN-06</w:t>
            </w:r>
          </w:p>
        </w:tc>
        <w:tc>
          <w:tcPr>
            <w:tcW w:type="dxa" w:w="4930"/>
            <w:vAlign w:val="top"/>
            <w:tcMar>
              <w:top w:w="80" w:type="dxa"/>
              <w:start w:w="120" w:type="dxa"/>
              <w:bottom w:w="80" w:type="dxa"/>
              <w:end w:w="120" w:type="dxa"/>
            </w:tcMar>
          </w:tcPr>
          <w:p>
            <w:pPr>
              <w:spacing w:after="0" w:line="252" w:lineRule="auto"/>
            </w:pPr>
            <w:r>
              <w:rPr>
                <w:rFonts w:ascii="Calibri" w:hAnsi="Calibri"/>
                <w:color w:val="000000"/>
                <w:sz w:val="18"/>
              </w:rPr>
              <w:t>Separate transferable inspiration from elements that should not be copied.</w:t>
            </w:r>
          </w:p>
        </w:tc>
        <w:tc>
          <w:tcPr>
            <w:tcW w:type="dxa" w:w="3430"/>
            <w:vAlign w:val="top"/>
            <w:tcMar>
              <w:top w:w="80" w:type="dxa"/>
              <w:start w:w="120" w:type="dxa"/>
              <w:bottom w:w="80" w:type="dxa"/>
              <w:end w:w="120" w:type="dxa"/>
            </w:tcMar>
          </w:tcPr>
          <w:p>
            <w:pPr>
              <w:spacing w:after="0" w:line="252" w:lineRule="auto"/>
            </w:pPr>
            <w:r>
              <w:rPr>
                <w:rFonts w:ascii="Calibri" w:hAnsi="Calibri"/>
                <w:color w:val="000000"/>
                <w:sz w:val="18"/>
              </w:rPr>
              <w:t>Analysis labels structure/style cues versus literal protected elements.</w:t>
            </w:r>
          </w:p>
        </w:tc>
      </w:tr>
      <w:tr>
        <w:trPr>
          <w:cantSplit/>
        </w:trPr>
        <w:tc>
          <w:tcPr>
            <w:tcW w:type="dxa" w:w="1000"/>
            <w:vAlign w:val="top"/>
            <w:tcMar>
              <w:top w:w="80" w:type="dxa"/>
              <w:start w:w="120" w:type="dxa"/>
              <w:bottom w:w="80" w:type="dxa"/>
              <w:end w:w="120" w:type="dxa"/>
            </w:tcMar>
          </w:tcPr>
          <w:p>
            <w:pPr>
              <w:spacing w:after="0" w:line="252" w:lineRule="auto"/>
            </w:pPr>
            <w:r>
              <w:rPr>
                <w:rFonts w:ascii="Calibri" w:hAnsi="Calibri"/>
                <w:color w:val="000000"/>
                <w:sz w:val="18"/>
              </w:rPr>
              <w:t>AN-07</w:t>
            </w:r>
          </w:p>
        </w:tc>
        <w:tc>
          <w:tcPr>
            <w:tcW w:type="dxa" w:w="4930"/>
            <w:vAlign w:val="top"/>
            <w:tcMar>
              <w:top w:w="80" w:type="dxa"/>
              <w:start w:w="120" w:type="dxa"/>
              <w:bottom w:w="80" w:type="dxa"/>
              <w:end w:w="120" w:type="dxa"/>
            </w:tcMar>
          </w:tcPr>
          <w:p>
            <w:pPr>
              <w:spacing w:after="0" w:line="252" w:lineRule="auto"/>
            </w:pPr>
            <w:r>
              <w:rPr>
                <w:rFonts w:ascii="Calibri" w:hAnsi="Calibri"/>
                <w:color w:val="000000"/>
                <w:sz w:val="18"/>
              </w:rPr>
              <w:t>Show uncertainty and missing evidence rather than inventing detail.</w:t>
            </w:r>
          </w:p>
        </w:tc>
        <w:tc>
          <w:tcPr>
            <w:tcW w:type="dxa" w:w="3430"/>
            <w:vAlign w:val="top"/>
            <w:tcMar>
              <w:top w:w="80" w:type="dxa"/>
              <w:start w:w="120" w:type="dxa"/>
              <w:bottom w:w="80" w:type="dxa"/>
              <w:end w:w="120" w:type="dxa"/>
            </w:tcMar>
          </w:tcPr>
          <w:p>
            <w:pPr>
              <w:spacing w:after="0" w:line="252" w:lineRule="auto"/>
            </w:pPr>
            <w:r>
              <w:rPr>
                <w:rFonts w:ascii="Calibri" w:hAnsi="Calibri"/>
                <w:color w:val="000000"/>
                <w:sz w:val="18"/>
              </w:rPr>
              <w:t>Every uncertain result carries evidence and confidence.</w:t>
            </w:r>
          </w:p>
        </w:tc>
      </w:tr>
    </w:tbl>
    <w:p>
      <w:pPr>
        <w:spacing w:after="0"/>
      </w:pPr>
    </w:p>
    <w:p>
      <w:pPr>
        <w:pStyle w:val="Heading2"/>
      </w:pPr>
      <w:r>
        <w:t>5.3 Story and production bible</w:t>
      </w:r>
    </w:p>
    <w:tbl>
      <w:tblPr>
        <w:tblStyle w:val="TableGrid"/>
        <w:tblW w:type="dxa" w:w="9360"/>
        <w:jc w:val="left"/>
        <w:tblLayout w:type="fixed"/>
        <w:tblLook w:firstColumn="1" w:firstRow="1" w:lastColumn="0" w:lastRow="0" w:noHBand="0" w:noVBand="1" w:val="04A0"/>
        <w:tblInd w:w="120" w:type="dxa"/>
      </w:tblPr>
      <w:tblGrid>
        <w:gridCol w:w="1100"/>
        <w:gridCol w:w="8260"/>
      </w:tblGrid>
      <w:tr>
        <w:trPr>
          <w:tblHeader w:val="true"/>
        </w:trPr>
        <w:tc>
          <w:tcPr>
            <w:tcW w:type="dxa" w:w="1100"/>
            <w:shd w:fill="F2F4F7"/>
            <w:vAlign w:val="center"/>
            <w:tcMar>
              <w:top w:w="80" w:type="dxa"/>
              <w:start w:w="120" w:type="dxa"/>
              <w:bottom w:w="80" w:type="dxa"/>
              <w:end w:w="120" w:type="dxa"/>
            </w:tcMar>
          </w:tcPr>
          <w:p>
            <w:pPr>
              <w:spacing w:after="0"/>
            </w:pPr>
            <w:r>
              <w:rPr>
                <w:rFonts w:ascii="Calibri" w:hAnsi="Calibri"/>
                <w:b/>
                <w:color w:val="163A5A"/>
                <w:sz w:val="18"/>
              </w:rPr>
              <w:t>ID</w:t>
            </w:r>
          </w:p>
        </w:tc>
        <w:tc>
          <w:tcPr>
            <w:tcW w:type="dxa" w:w="8260"/>
            <w:shd w:fill="F2F4F7"/>
            <w:vAlign w:val="center"/>
            <w:tcMar>
              <w:top w:w="80" w:type="dxa"/>
              <w:start w:w="120" w:type="dxa"/>
              <w:bottom w:w="80" w:type="dxa"/>
              <w:end w:w="120" w:type="dxa"/>
            </w:tcMar>
          </w:tcPr>
          <w:p>
            <w:pPr>
              <w:spacing w:after="0"/>
            </w:pPr>
            <w:r>
              <w:rPr>
                <w:rFonts w:ascii="Calibri" w:hAnsi="Calibri"/>
                <w:b/>
                <w:color w:val="163A5A"/>
                <w:sz w:val="18"/>
              </w:rPr>
              <w:t>Requirement</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ST-01</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Generate 2-3 concept options with premise, hook, intended emotion, approximate duration and generation complexity.</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ST-02</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Create logline, synopsis, beats and scene objectives from the selected concept.</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ST-03</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Maintain character, environment, prop, costume and style definitions as versioned bible entities.</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ST-04</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Track what each character knows, suspects, wants and hides at each scene boundary.</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ST-05</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Allow users to lock any approved field; agents may not silently overwrite locked content.</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ST-06</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Before story lock, check causal logic, pacing, originality, duration feasibility, motivation and continuity.</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ST-07</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Show downstream impact before an approved story or bible item is changed.</w:t>
            </w:r>
          </w:p>
        </w:tc>
      </w:tr>
    </w:tbl>
    <w:p>
      <w:pPr>
        <w:spacing w:after="0"/>
      </w:pPr>
    </w:p>
    <w:p>
      <w:pPr>
        <w:pStyle w:val="Heading2"/>
      </w:pPr>
      <w:r>
        <w:t>5.4 Dialogue Room</w:t>
      </w:r>
    </w:p>
    <w:p>
      <w:r>
        <w:t>Dialogue quality is a separate approval gate inside the Screenwriter role. It must operate before shot generation so weak lines do not trigger expensive media work.</w:t>
      </w:r>
    </w:p>
    <w:tbl>
      <w:tblPr>
        <w:tblStyle w:val="TableGrid"/>
        <w:tblW w:type="dxa" w:w="9360"/>
        <w:jc w:val="left"/>
        <w:tblLayout w:type="fixed"/>
        <w:tblLook w:firstColumn="1" w:firstRow="1" w:lastColumn="0" w:lastRow="0" w:noHBand="0" w:noVBand="1" w:val="04A0"/>
        <w:tblInd w:w="120" w:type="dxa"/>
      </w:tblPr>
      <w:tblGrid>
        <w:gridCol w:w="1000"/>
        <w:gridCol w:w="5030"/>
        <w:gridCol w:w="3330"/>
      </w:tblGrid>
      <w:tr>
        <w:trPr>
          <w:tblHeader w:val="true"/>
        </w:trPr>
        <w:tc>
          <w:tcPr>
            <w:tcW w:type="dxa" w:w="1000"/>
            <w:shd w:fill="F2F4F7"/>
            <w:vAlign w:val="center"/>
            <w:tcMar>
              <w:top w:w="80" w:type="dxa"/>
              <w:start w:w="120" w:type="dxa"/>
              <w:bottom w:w="80" w:type="dxa"/>
              <w:end w:w="120" w:type="dxa"/>
            </w:tcMar>
          </w:tcPr>
          <w:p>
            <w:pPr>
              <w:spacing w:after="0"/>
            </w:pPr>
            <w:r>
              <w:rPr>
                <w:rFonts w:ascii="Calibri" w:hAnsi="Calibri"/>
                <w:b/>
                <w:color w:val="163A5A"/>
                <w:sz w:val="18"/>
              </w:rPr>
              <w:t>ID</w:t>
            </w:r>
          </w:p>
        </w:tc>
        <w:tc>
          <w:tcPr>
            <w:tcW w:type="dxa" w:w="5030"/>
            <w:shd w:fill="F2F4F7"/>
            <w:vAlign w:val="center"/>
            <w:tcMar>
              <w:top w:w="80" w:type="dxa"/>
              <w:start w:w="120" w:type="dxa"/>
              <w:bottom w:w="80" w:type="dxa"/>
              <w:end w:w="120" w:type="dxa"/>
            </w:tcMar>
          </w:tcPr>
          <w:p>
            <w:pPr>
              <w:spacing w:after="0"/>
            </w:pPr>
            <w:r>
              <w:rPr>
                <w:rFonts w:ascii="Calibri" w:hAnsi="Calibri"/>
                <w:b/>
                <w:color w:val="163A5A"/>
                <w:sz w:val="18"/>
              </w:rPr>
              <w:t>Requirement</w:t>
            </w:r>
          </w:p>
        </w:tc>
        <w:tc>
          <w:tcPr>
            <w:tcW w:type="dxa" w:w="3330"/>
            <w:shd w:fill="F2F4F7"/>
            <w:vAlign w:val="center"/>
            <w:tcMar>
              <w:top w:w="80" w:type="dxa"/>
              <w:start w:w="120" w:type="dxa"/>
              <w:bottom w:w="80" w:type="dxa"/>
              <w:end w:w="120" w:type="dxa"/>
            </w:tcMar>
          </w:tcPr>
          <w:p>
            <w:pPr>
              <w:spacing w:after="0"/>
            </w:pPr>
            <w:r>
              <w:rPr>
                <w:rFonts w:ascii="Calibri" w:hAnsi="Calibri"/>
                <w:b/>
                <w:color w:val="163A5A"/>
                <w:sz w:val="18"/>
              </w:rPr>
              <w:t>Pass condition</w:t>
            </w:r>
          </w:p>
        </w:tc>
      </w:tr>
      <w:tr>
        <w:trPr>
          <w:cantSplit/>
        </w:trPr>
        <w:tc>
          <w:tcPr>
            <w:tcW w:type="dxa" w:w="1000"/>
            <w:vAlign w:val="top"/>
            <w:tcMar>
              <w:top w:w="80" w:type="dxa"/>
              <w:start w:w="120" w:type="dxa"/>
              <w:bottom w:w="80" w:type="dxa"/>
              <w:end w:w="120" w:type="dxa"/>
            </w:tcMar>
          </w:tcPr>
          <w:p>
            <w:pPr>
              <w:spacing w:after="0" w:line="252" w:lineRule="auto"/>
            </w:pPr>
            <w:r>
              <w:rPr>
                <w:rFonts w:ascii="Calibri" w:hAnsi="Calibri"/>
                <w:color w:val="000000"/>
                <w:sz w:val="18"/>
              </w:rPr>
              <w:t>DL-01</w:t>
            </w:r>
          </w:p>
        </w:tc>
        <w:tc>
          <w:tcPr>
            <w:tcW w:type="dxa" w:w="5030"/>
            <w:vAlign w:val="top"/>
            <w:tcMar>
              <w:top w:w="80" w:type="dxa"/>
              <w:start w:w="120" w:type="dxa"/>
              <w:bottom w:w="80" w:type="dxa"/>
              <w:end w:w="120" w:type="dxa"/>
            </w:tcMar>
          </w:tcPr>
          <w:p>
            <w:pPr>
              <w:spacing w:after="0" w:line="252" w:lineRule="auto"/>
            </w:pPr>
            <w:r>
              <w:rPr>
                <w:rFonts w:ascii="Calibri" w:hAnsi="Calibri"/>
                <w:color w:val="000000"/>
                <w:sz w:val="18"/>
              </w:rPr>
              <w:t>Define each speaker's vocabulary, temperament, relationship history and speaking rhythm.</w:t>
            </w:r>
          </w:p>
        </w:tc>
        <w:tc>
          <w:tcPr>
            <w:tcW w:type="dxa" w:w="3330"/>
            <w:vAlign w:val="top"/>
            <w:tcMar>
              <w:top w:w="80" w:type="dxa"/>
              <w:start w:w="120" w:type="dxa"/>
              <w:bottom w:w="80" w:type="dxa"/>
              <w:end w:w="120" w:type="dxa"/>
            </w:tcMar>
          </w:tcPr>
          <w:p>
            <w:pPr>
              <w:spacing w:after="0" w:line="252" w:lineRule="auto"/>
            </w:pPr>
            <w:r>
              <w:rPr>
                <w:rFonts w:ascii="Calibri" w:hAnsi="Calibri"/>
                <w:color w:val="000000"/>
                <w:sz w:val="18"/>
              </w:rPr>
              <w:t>Lines remain attributable to the intended speaker.</w:t>
            </w:r>
          </w:p>
        </w:tc>
      </w:tr>
      <w:tr>
        <w:trPr>
          <w:cantSplit/>
        </w:trPr>
        <w:tc>
          <w:tcPr>
            <w:tcW w:type="dxa" w:w="1000"/>
            <w:vAlign w:val="top"/>
            <w:tcMar>
              <w:top w:w="80" w:type="dxa"/>
              <w:start w:w="120" w:type="dxa"/>
              <w:bottom w:w="80" w:type="dxa"/>
              <w:end w:w="120" w:type="dxa"/>
            </w:tcMar>
          </w:tcPr>
          <w:p>
            <w:pPr>
              <w:spacing w:after="0" w:line="252" w:lineRule="auto"/>
            </w:pPr>
            <w:r>
              <w:rPr>
                <w:rFonts w:ascii="Calibri" w:hAnsi="Calibri"/>
                <w:color w:val="000000"/>
                <w:sz w:val="18"/>
              </w:rPr>
              <w:t>DL-02</w:t>
            </w:r>
          </w:p>
        </w:tc>
        <w:tc>
          <w:tcPr>
            <w:tcW w:type="dxa" w:w="5030"/>
            <w:vAlign w:val="top"/>
            <w:tcMar>
              <w:top w:w="80" w:type="dxa"/>
              <w:start w:w="120" w:type="dxa"/>
              <w:bottom w:w="80" w:type="dxa"/>
              <w:end w:w="120" w:type="dxa"/>
            </w:tcMar>
          </w:tcPr>
          <w:p>
            <w:pPr>
              <w:spacing w:after="0" w:line="252" w:lineRule="auto"/>
            </w:pPr>
            <w:r>
              <w:rPr>
                <w:rFonts w:ascii="Calibri" w:hAnsi="Calibri"/>
                <w:color w:val="000000"/>
                <w:sz w:val="18"/>
              </w:rPr>
              <w:t>Define the immediate objective and knowledge boundary for every speaking character.</w:t>
            </w:r>
          </w:p>
        </w:tc>
        <w:tc>
          <w:tcPr>
            <w:tcW w:type="dxa" w:w="3330"/>
            <w:vAlign w:val="top"/>
            <w:tcMar>
              <w:top w:w="80" w:type="dxa"/>
              <w:start w:w="120" w:type="dxa"/>
              <w:bottom w:w="80" w:type="dxa"/>
              <w:end w:w="120" w:type="dxa"/>
            </w:tcMar>
          </w:tcPr>
          <w:p>
            <w:pPr>
              <w:spacing w:after="0" w:line="252" w:lineRule="auto"/>
            </w:pPr>
            <w:r>
              <w:rPr>
                <w:rFonts w:ascii="Calibri" w:hAnsi="Calibri"/>
                <w:color w:val="000000"/>
                <w:sz w:val="18"/>
              </w:rPr>
              <w:t>No character states knowledge they do not possess.</w:t>
            </w:r>
          </w:p>
        </w:tc>
      </w:tr>
      <w:tr>
        <w:trPr>
          <w:cantSplit/>
        </w:trPr>
        <w:tc>
          <w:tcPr>
            <w:tcW w:type="dxa" w:w="1000"/>
            <w:vAlign w:val="top"/>
            <w:tcMar>
              <w:top w:w="80" w:type="dxa"/>
              <w:start w:w="120" w:type="dxa"/>
              <w:bottom w:w="80" w:type="dxa"/>
              <w:end w:w="120" w:type="dxa"/>
            </w:tcMar>
          </w:tcPr>
          <w:p>
            <w:pPr>
              <w:spacing w:after="0" w:line="252" w:lineRule="auto"/>
            </w:pPr>
            <w:r>
              <w:rPr>
                <w:rFonts w:ascii="Calibri" w:hAnsi="Calibri"/>
                <w:color w:val="000000"/>
                <w:sz w:val="18"/>
              </w:rPr>
              <w:t>DL-03</w:t>
            </w:r>
          </w:p>
        </w:tc>
        <w:tc>
          <w:tcPr>
            <w:tcW w:type="dxa" w:w="5030"/>
            <w:vAlign w:val="top"/>
            <w:tcMar>
              <w:top w:w="80" w:type="dxa"/>
              <w:start w:w="120" w:type="dxa"/>
              <w:bottom w:w="80" w:type="dxa"/>
              <w:end w:w="120" w:type="dxa"/>
            </w:tcMar>
          </w:tcPr>
          <w:p>
            <w:pPr>
              <w:spacing w:after="0" w:line="252" w:lineRule="auto"/>
            </w:pPr>
            <w:r>
              <w:rPr>
                <w:rFonts w:ascii="Calibri" w:hAnsi="Calibri"/>
                <w:color w:val="000000"/>
                <w:sz w:val="18"/>
              </w:rPr>
              <w:t>Draft conversation turn-by-turn with each response reacting to the previous line.</w:t>
            </w:r>
          </w:p>
        </w:tc>
        <w:tc>
          <w:tcPr>
            <w:tcW w:type="dxa" w:w="3330"/>
            <w:vAlign w:val="top"/>
            <w:tcMar>
              <w:top w:w="80" w:type="dxa"/>
              <w:start w:w="120" w:type="dxa"/>
              <w:bottom w:w="80" w:type="dxa"/>
              <w:end w:w="120" w:type="dxa"/>
            </w:tcMar>
          </w:tcPr>
          <w:p>
            <w:pPr>
              <w:spacing w:after="0" w:line="252" w:lineRule="auto"/>
            </w:pPr>
            <w:r>
              <w:rPr>
                <w:rFonts w:ascii="Calibri" w:hAnsi="Calibri"/>
                <w:color w:val="000000"/>
                <w:sz w:val="18"/>
              </w:rPr>
              <w:t>No disconnected declarations or monologues disguised as exchange.</w:t>
            </w:r>
          </w:p>
        </w:tc>
      </w:tr>
      <w:tr>
        <w:trPr>
          <w:cantSplit/>
        </w:trPr>
        <w:tc>
          <w:tcPr>
            <w:tcW w:type="dxa" w:w="1000"/>
            <w:vAlign w:val="top"/>
            <w:tcMar>
              <w:top w:w="80" w:type="dxa"/>
              <w:start w:w="120" w:type="dxa"/>
              <w:bottom w:w="80" w:type="dxa"/>
              <w:end w:w="120" w:type="dxa"/>
            </w:tcMar>
          </w:tcPr>
          <w:p>
            <w:pPr>
              <w:spacing w:after="0" w:line="252" w:lineRule="auto"/>
            </w:pPr>
            <w:r>
              <w:rPr>
                <w:rFonts w:ascii="Calibri" w:hAnsi="Calibri"/>
                <w:color w:val="000000"/>
                <w:sz w:val="18"/>
              </w:rPr>
              <w:t>DL-04</w:t>
            </w:r>
          </w:p>
        </w:tc>
        <w:tc>
          <w:tcPr>
            <w:tcW w:type="dxa" w:w="5030"/>
            <w:vAlign w:val="top"/>
            <w:tcMar>
              <w:top w:w="80" w:type="dxa"/>
              <w:start w:w="120" w:type="dxa"/>
              <w:bottom w:w="80" w:type="dxa"/>
              <w:end w:w="120" w:type="dxa"/>
            </w:tcMar>
          </w:tcPr>
          <w:p>
            <w:pPr>
              <w:spacing w:after="0" w:line="252" w:lineRule="auto"/>
            </w:pPr>
            <w:r>
              <w:rPr>
                <w:rFonts w:ascii="Calibri" w:hAnsi="Calibri"/>
                <w:color w:val="000000"/>
                <w:sz w:val="18"/>
              </w:rPr>
              <w:t>Critique exposition, cliches, generic heroism, translated phrasing, repetition and vague words.</w:t>
            </w:r>
          </w:p>
        </w:tc>
        <w:tc>
          <w:tcPr>
            <w:tcW w:type="dxa" w:w="3330"/>
            <w:vAlign w:val="top"/>
            <w:tcMar>
              <w:top w:w="80" w:type="dxa"/>
              <w:start w:w="120" w:type="dxa"/>
              <w:bottom w:w="80" w:type="dxa"/>
              <w:end w:w="120" w:type="dxa"/>
            </w:tcMar>
          </w:tcPr>
          <w:p>
            <w:pPr>
              <w:spacing w:after="0" w:line="252" w:lineRule="auto"/>
            </w:pPr>
            <w:r>
              <w:rPr>
                <w:rFonts w:ascii="Calibri" w:hAnsi="Calibri"/>
                <w:color w:val="000000"/>
                <w:sz w:val="18"/>
              </w:rPr>
              <w:t>Failed lines are listed with reasons and alternatives.</w:t>
            </w:r>
          </w:p>
        </w:tc>
      </w:tr>
      <w:tr>
        <w:trPr>
          <w:cantSplit/>
        </w:trPr>
        <w:tc>
          <w:tcPr>
            <w:tcW w:type="dxa" w:w="1000"/>
            <w:vAlign w:val="top"/>
            <w:tcMar>
              <w:top w:w="80" w:type="dxa"/>
              <w:start w:w="120" w:type="dxa"/>
              <w:bottom w:w="80" w:type="dxa"/>
              <w:end w:w="120" w:type="dxa"/>
            </w:tcMar>
          </w:tcPr>
          <w:p>
            <w:pPr>
              <w:spacing w:after="0" w:line="252" w:lineRule="auto"/>
            </w:pPr>
            <w:r>
              <w:rPr>
                <w:rFonts w:ascii="Calibri" w:hAnsi="Calibri"/>
                <w:color w:val="000000"/>
                <w:sz w:val="18"/>
              </w:rPr>
              <w:t>DL-05</w:t>
            </w:r>
          </w:p>
        </w:tc>
        <w:tc>
          <w:tcPr>
            <w:tcW w:type="dxa" w:w="5030"/>
            <w:vAlign w:val="top"/>
            <w:tcMar>
              <w:top w:w="80" w:type="dxa"/>
              <w:start w:w="120" w:type="dxa"/>
              <w:bottom w:w="80" w:type="dxa"/>
              <w:end w:w="120" w:type="dxa"/>
            </w:tcMar>
          </w:tcPr>
          <w:p>
            <w:pPr>
              <w:spacing w:after="0" w:line="252" w:lineRule="auto"/>
            </w:pPr>
            <w:r>
              <w:rPr>
                <w:rFonts w:ascii="Calibri" w:hAnsi="Calibri"/>
                <w:color w:val="000000"/>
                <w:sz w:val="18"/>
              </w:rPr>
              <w:t>Check natural Hindi speakability and optional temporary table-read audio.</w:t>
            </w:r>
          </w:p>
        </w:tc>
        <w:tc>
          <w:tcPr>
            <w:tcW w:type="dxa" w:w="3330"/>
            <w:vAlign w:val="top"/>
            <w:tcMar>
              <w:top w:w="80" w:type="dxa"/>
              <w:start w:w="120" w:type="dxa"/>
              <w:bottom w:w="80" w:type="dxa"/>
              <w:end w:w="120" w:type="dxa"/>
            </w:tcMar>
          </w:tcPr>
          <w:p>
            <w:pPr>
              <w:spacing w:after="0" w:line="252" w:lineRule="auto"/>
            </w:pPr>
            <w:r>
              <w:rPr>
                <w:rFonts w:ascii="Calibri" w:hAnsi="Calibri"/>
                <w:color w:val="000000"/>
                <w:sz w:val="18"/>
              </w:rPr>
              <w:t>Dialogue can be spoken within scene duration.</w:t>
            </w:r>
          </w:p>
        </w:tc>
      </w:tr>
      <w:tr>
        <w:trPr>
          <w:cantSplit/>
        </w:trPr>
        <w:tc>
          <w:tcPr>
            <w:tcW w:type="dxa" w:w="1000"/>
            <w:vAlign w:val="top"/>
            <w:tcMar>
              <w:top w:w="80" w:type="dxa"/>
              <w:start w:w="120" w:type="dxa"/>
              <w:bottom w:w="80" w:type="dxa"/>
              <w:end w:w="120" w:type="dxa"/>
            </w:tcMar>
          </w:tcPr>
          <w:p>
            <w:pPr>
              <w:spacing w:after="0" w:line="252" w:lineRule="auto"/>
            </w:pPr>
            <w:r>
              <w:rPr>
                <w:rFonts w:ascii="Calibri" w:hAnsi="Calibri"/>
                <w:color w:val="000000"/>
                <w:sz w:val="18"/>
              </w:rPr>
              <w:t>DL-06</w:t>
            </w:r>
          </w:p>
        </w:tc>
        <w:tc>
          <w:tcPr>
            <w:tcW w:type="dxa" w:w="5030"/>
            <w:vAlign w:val="top"/>
            <w:tcMar>
              <w:top w:w="80" w:type="dxa"/>
              <w:start w:w="120" w:type="dxa"/>
              <w:bottom w:w="80" w:type="dxa"/>
              <w:end w:w="120" w:type="dxa"/>
            </w:tcMar>
          </w:tcPr>
          <w:p>
            <w:pPr>
              <w:spacing w:after="0" w:line="252" w:lineRule="auto"/>
            </w:pPr>
            <w:r>
              <w:rPr>
                <w:rFonts w:ascii="Calibri" w:hAnsi="Calibri"/>
                <w:color w:val="000000"/>
                <w:sz w:val="18"/>
              </w:rPr>
              <w:t>Rewrite only failed lines while preserving approved meaning and locked facts.</w:t>
            </w:r>
          </w:p>
        </w:tc>
        <w:tc>
          <w:tcPr>
            <w:tcW w:type="dxa" w:w="3330"/>
            <w:vAlign w:val="top"/>
            <w:tcMar>
              <w:top w:w="80" w:type="dxa"/>
              <w:start w:w="120" w:type="dxa"/>
              <w:bottom w:w="80" w:type="dxa"/>
              <w:end w:w="120" w:type="dxa"/>
            </w:tcMar>
          </w:tcPr>
          <w:p>
            <w:pPr>
              <w:spacing w:after="0" w:line="252" w:lineRule="auto"/>
            </w:pPr>
            <w:r>
              <w:rPr>
                <w:rFonts w:ascii="Calibri" w:hAnsi="Calibri"/>
                <w:color w:val="000000"/>
                <w:sz w:val="18"/>
              </w:rPr>
              <w:t>Unfailed lines remain unchanged unless explicitly unlocked.</w:t>
            </w:r>
          </w:p>
        </w:tc>
      </w:tr>
      <w:tr>
        <w:trPr>
          <w:cantSplit/>
        </w:trPr>
        <w:tc>
          <w:tcPr>
            <w:tcW w:type="dxa" w:w="1000"/>
            <w:vAlign w:val="top"/>
            <w:tcMar>
              <w:top w:w="80" w:type="dxa"/>
              <w:start w:w="120" w:type="dxa"/>
              <w:bottom w:w="80" w:type="dxa"/>
              <w:end w:w="120" w:type="dxa"/>
            </w:tcMar>
          </w:tcPr>
          <w:p>
            <w:pPr>
              <w:spacing w:after="0" w:line="252" w:lineRule="auto"/>
            </w:pPr>
            <w:r>
              <w:rPr>
                <w:rFonts w:ascii="Calibri" w:hAnsi="Calibri"/>
                <w:color w:val="000000"/>
                <w:sz w:val="18"/>
              </w:rPr>
              <w:t>DL-07</w:t>
            </w:r>
          </w:p>
        </w:tc>
        <w:tc>
          <w:tcPr>
            <w:tcW w:type="dxa" w:w="5030"/>
            <w:vAlign w:val="top"/>
            <w:tcMar>
              <w:top w:w="80" w:type="dxa"/>
              <w:start w:w="120" w:type="dxa"/>
              <w:bottom w:w="80" w:type="dxa"/>
              <w:end w:w="120" w:type="dxa"/>
            </w:tcMar>
          </w:tcPr>
          <w:p>
            <w:pPr>
              <w:spacing w:after="0" w:line="252" w:lineRule="auto"/>
            </w:pPr>
            <w:r>
              <w:rPr>
                <w:rFonts w:ascii="Calibri" w:hAnsi="Calibri"/>
                <w:color w:val="000000"/>
                <w:sz w:val="18"/>
              </w:rPr>
              <w:t>Use a critic model different from the writer when the configured model catalogue permits it.</w:t>
            </w:r>
          </w:p>
        </w:tc>
        <w:tc>
          <w:tcPr>
            <w:tcW w:type="dxa" w:w="3330"/>
            <w:vAlign w:val="top"/>
            <w:tcMar>
              <w:top w:w="80" w:type="dxa"/>
              <w:start w:w="120" w:type="dxa"/>
              <w:bottom w:w="80" w:type="dxa"/>
              <w:end w:w="120" w:type="dxa"/>
            </w:tcMar>
          </w:tcPr>
          <w:p>
            <w:pPr>
              <w:spacing w:after="0" w:line="252" w:lineRule="auto"/>
            </w:pPr>
            <w:r>
              <w:rPr>
                <w:rFonts w:ascii="Calibri" w:hAnsi="Calibri"/>
                <w:color w:val="000000"/>
                <w:sz w:val="18"/>
              </w:rPr>
              <w:t>Writer and critic model IDs are recorded.</w:t>
            </w:r>
          </w:p>
        </w:tc>
      </w:tr>
    </w:tbl>
    <w:p>
      <w:pPr>
        <w:spacing w:after="0"/>
      </w:pPr>
    </w:p>
    <w:p>
      <w:pPr>
        <w:pStyle w:val="Heading2"/>
      </w:pPr>
      <w:r>
        <w:t>5.5 Scene and shot timeline</w:t>
      </w:r>
    </w:p>
    <w:tbl>
      <w:tblPr>
        <w:tblStyle w:val="TableGrid"/>
        <w:tblW w:type="dxa" w:w="9360"/>
        <w:jc w:val="left"/>
        <w:tblLayout w:type="fixed"/>
        <w:tblLook w:firstColumn="1" w:firstRow="1" w:lastColumn="0" w:lastRow="0" w:noHBand="0" w:noVBand="1" w:val="04A0"/>
        <w:tblInd w:w="120" w:type="dxa"/>
      </w:tblPr>
      <w:tblGrid>
        <w:gridCol w:w="1100"/>
        <w:gridCol w:w="8260"/>
      </w:tblGrid>
      <w:tr>
        <w:trPr>
          <w:tblHeader w:val="true"/>
        </w:trPr>
        <w:tc>
          <w:tcPr>
            <w:tcW w:type="dxa" w:w="1100"/>
            <w:shd w:fill="F2F4F7"/>
            <w:vAlign w:val="center"/>
            <w:tcMar>
              <w:top w:w="80" w:type="dxa"/>
              <w:start w:w="120" w:type="dxa"/>
              <w:bottom w:w="80" w:type="dxa"/>
              <w:end w:w="120" w:type="dxa"/>
            </w:tcMar>
          </w:tcPr>
          <w:p>
            <w:pPr>
              <w:spacing w:after="0"/>
            </w:pPr>
            <w:r>
              <w:rPr>
                <w:rFonts w:ascii="Calibri" w:hAnsi="Calibri"/>
                <w:b/>
                <w:color w:val="163A5A"/>
                <w:sz w:val="18"/>
              </w:rPr>
              <w:t>ID</w:t>
            </w:r>
          </w:p>
        </w:tc>
        <w:tc>
          <w:tcPr>
            <w:tcW w:type="dxa" w:w="8260"/>
            <w:shd w:fill="F2F4F7"/>
            <w:vAlign w:val="center"/>
            <w:tcMar>
              <w:top w:w="80" w:type="dxa"/>
              <w:start w:w="120" w:type="dxa"/>
              <w:bottom w:w="80" w:type="dxa"/>
              <w:end w:w="120" w:type="dxa"/>
            </w:tcMar>
          </w:tcPr>
          <w:p>
            <w:pPr>
              <w:spacing w:after="0"/>
            </w:pPr>
            <w:r>
              <w:rPr>
                <w:rFonts w:ascii="Calibri" w:hAnsi="Calibri"/>
                <w:b/>
                <w:color w:val="163A5A"/>
                <w:sz w:val="18"/>
              </w:rPr>
              <w:t>Requirement</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SH-01</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Represent scenes and shots separately, each with ordered IDs and versioned status.</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SH-02</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Store duration, purpose, subject, setting, action, start/end state, camera, dialogue, audio and transition for every shot.</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SH-03</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Compile provider-specific prompts from owned shot data; provider syntax must not pollute the core schema.</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SH-04</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Assign model capability, model candidate, generation mode, references, seed policy and optional LoRA plan.</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SH-05</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Run preflight checks for duration, feasibility, continuity, identity, required references and expected outcome.</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SH-06</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Allow generation for one shot, selected shots, one scene or all ready shots.</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SH-07</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Display approval status, active job, latest cost, retry count and unresolved issue inline.</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SH-08</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Prevent deletion of an approved asset that is used by downstream shots without impact confirmation.</w:t>
            </w:r>
          </w:p>
        </w:tc>
      </w:tr>
    </w:tbl>
    <w:p>
      <w:pPr>
        <w:spacing w:after="0"/>
      </w:pPr>
    </w:p>
    <w:p>
      <w:pPr>
        <w:pStyle w:val="Heading2"/>
      </w:pPr>
      <w:r>
        <w:t>5.6 Media generation and FAL adapter</w:t>
      </w:r>
    </w:p>
    <w:p>
      <w:r>
        <w:t>FAL AI is the primary MVP media execution provider. The core must call capability-based operations so endpoint changes remain isolated inside configuration and adapter code.</w:t>
      </w:r>
    </w:p>
    <w:tbl>
      <w:tblPr>
        <w:tblStyle w:val="TableGrid"/>
        <w:tblW w:type="dxa" w:w="9360"/>
        <w:jc w:val="left"/>
        <w:tblLayout w:type="fixed"/>
        <w:tblLook w:firstColumn="1" w:firstRow="1" w:lastColumn="0" w:lastRow="0" w:noHBand="0" w:noVBand="1" w:val="04A0"/>
        <w:tblInd w:w="120" w:type="dxa"/>
      </w:tblPr>
      <w:tblGrid>
        <w:gridCol w:w="2200"/>
        <w:gridCol w:w="7160"/>
      </w:tblGrid>
      <w:tr>
        <w:trPr>
          <w:tblHeader w:val="true"/>
        </w:trPr>
        <w:tc>
          <w:tcPr>
            <w:tcW w:type="dxa" w:w="2200"/>
            <w:shd w:fill="F2F4F7"/>
            <w:vAlign w:val="center"/>
            <w:tcMar>
              <w:top w:w="80" w:type="dxa"/>
              <w:start w:w="120" w:type="dxa"/>
              <w:bottom w:w="80" w:type="dxa"/>
              <w:end w:w="120" w:type="dxa"/>
            </w:tcMar>
          </w:tcPr>
          <w:p>
            <w:pPr>
              <w:spacing w:after="0"/>
            </w:pPr>
            <w:r>
              <w:rPr>
                <w:rFonts w:ascii="Calibri" w:hAnsi="Calibri"/>
                <w:b/>
                <w:color w:val="163A5A"/>
                <w:sz w:val="18"/>
              </w:rPr>
              <w:t>Operation</w:t>
            </w:r>
          </w:p>
        </w:tc>
        <w:tc>
          <w:tcPr>
            <w:tcW w:type="dxa" w:w="7160"/>
            <w:shd w:fill="F2F4F7"/>
            <w:vAlign w:val="center"/>
            <w:tcMar>
              <w:top w:w="80" w:type="dxa"/>
              <w:start w:w="120" w:type="dxa"/>
              <w:bottom w:w="80" w:type="dxa"/>
              <w:end w:w="120" w:type="dxa"/>
            </w:tcMar>
          </w:tcPr>
          <w:p>
            <w:pPr>
              <w:spacing w:after="0"/>
            </w:pPr>
            <w:r>
              <w:rPr>
                <w:rFonts w:ascii="Calibri" w:hAnsi="Calibri"/>
                <w:b/>
                <w:color w:val="163A5A"/>
                <w:sz w:val="18"/>
              </w:rPr>
              <w:t>Required behaviour</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generateImage</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Create candidate keyframes from text and approved references.</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editImage</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Inpaint, outpaint, restyle or correct an existing approved image.</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generateVideo</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Create text-to-video or image-to-video clips using the selected generation profile.</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transformVideo</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Apply supported video-to-video correction, stylization or extension.</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generateSpeech</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Create narration/dialogue audio where the selected provider capability is approved.</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lipSync</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Apply only when a visible speaker and approved dialogue require it.</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trainLora</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Start an approved LoRA training workflow with dataset, consent/licence and budget checks.</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upscaleAsset</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Upscale or restore approved images/clips without replacing their lineage.</w:t>
            </w:r>
          </w:p>
        </w:tc>
      </w:tr>
    </w:tbl>
    <w:p>
      <w:pPr>
        <w:spacing w:after="0"/>
      </w:pPr>
    </w:p>
    <w:p>
      <w:pPr>
        <w:pStyle w:val="ListBullet"/>
        <w:spacing w:after="80" w:line="264" w:lineRule="auto"/>
      </w:pPr>
      <w:r>
        <w:rPr>
          <w:rFonts w:ascii="Calibri" w:hAnsi="Calibri"/>
        </w:rPr>
        <w:t>All FAL submissions must be asynchronous, idempotent and resumable.</w:t>
      </w:r>
    </w:p>
    <w:p>
      <w:pPr>
        <w:pStyle w:val="ListBullet"/>
        <w:spacing w:after="80" w:line="264" w:lineRule="auto"/>
      </w:pPr>
      <w:r>
        <w:rPr>
          <w:rFonts w:ascii="Calibri" w:hAnsi="Calibri"/>
        </w:rPr>
        <w:t>Webhook results must be authenticated, deduplicated and matched to the submitted job.</w:t>
      </w:r>
    </w:p>
    <w:p>
      <w:pPr>
        <w:pStyle w:val="ListBullet"/>
        <w:spacing w:after="80" w:line="264" w:lineRule="auto"/>
      </w:pPr>
      <w:r>
        <w:rPr>
          <w:rFonts w:ascii="Calibri" w:hAnsi="Calibri"/>
        </w:rPr>
        <w:t>Provider payloads and raw responses must be stored with sensitive values redacted.</w:t>
      </w:r>
    </w:p>
    <w:p>
      <w:pPr>
        <w:pStyle w:val="ListBullet"/>
        <w:spacing w:after="80" w:line="264" w:lineRule="auto"/>
      </w:pPr>
      <w:r>
        <w:rPr>
          <w:rFonts w:ascii="Calibri" w:hAnsi="Calibri"/>
        </w:rPr>
        <w:t>A timeout or provider failure must not advance the production state.</w:t>
      </w:r>
    </w:p>
    <w:p>
      <w:pPr>
        <w:pStyle w:val="Heading2"/>
      </w:pPr>
      <w:r>
        <w:t>5.7 Review queue and repair</w:t>
      </w:r>
    </w:p>
    <w:tbl>
      <w:tblPr>
        <w:tblStyle w:val="TableGrid"/>
        <w:tblW w:type="dxa" w:w="9360"/>
        <w:jc w:val="left"/>
        <w:tblLayout w:type="fixed"/>
        <w:tblLook w:firstColumn="1" w:firstRow="1" w:lastColumn="0" w:lastRow="0" w:noHBand="0" w:noVBand="1" w:val="04A0"/>
        <w:tblInd w:w="120" w:type="dxa"/>
      </w:tblPr>
      <w:tblGrid>
        <w:gridCol w:w="1100"/>
        <w:gridCol w:w="8260"/>
      </w:tblGrid>
      <w:tr>
        <w:trPr>
          <w:tblHeader w:val="true"/>
        </w:trPr>
        <w:tc>
          <w:tcPr>
            <w:tcW w:type="dxa" w:w="1100"/>
            <w:shd w:fill="F2F4F7"/>
            <w:vAlign w:val="center"/>
            <w:tcMar>
              <w:top w:w="80" w:type="dxa"/>
              <w:start w:w="120" w:type="dxa"/>
              <w:bottom w:w="80" w:type="dxa"/>
              <w:end w:w="120" w:type="dxa"/>
            </w:tcMar>
          </w:tcPr>
          <w:p>
            <w:pPr>
              <w:spacing w:after="0"/>
            </w:pPr>
            <w:r>
              <w:rPr>
                <w:rFonts w:ascii="Calibri" w:hAnsi="Calibri"/>
                <w:b/>
                <w:color w:val="163A5A"/>
                <w:sz w:val="18"/>
              </w:rPr>
              <w:t>ID</w:t>
            </w:r>
          </w:p>
        </w:tc>
        <w:tc>
          <w:tcPr>
            <w:tcW w:type="dxa" w:w="8260"/>
            <w:shd w:fill="F2F4F7"/>
            <w:vAlign w:val="center"/>
            <w:tcMar>
              <w:top w:w="80" w:type="dxa"/>
              <w:start w:w="120" w:type="dxa"/>
              <w:bottom w:w="80" w:type="dxa"/>
              <w:end w:w="120" w:type="dxa"/>
            </w:tcMar>
          </w:tcPr>
          <w:p>
            <w:pPr>
              <w:spacing w:after="0"/>
            </w:pPr>
            <w:r>
              <w:rPr>
                <w:rFonts w:ascii="Calibri" w:hAnsi="Calibri"/>
                <w:b/>
                <w:color w:val="163A5A"/>
                <w:sz w:val="18"/>
              </w:rPr>
              <w:t>Requirement</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RV-01</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Queue only failed, low-confidence, policy-required or manually flagged items by default.</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RV-02</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Show the generated asset beside intended outcome, references, critic evidence, scores and repair proposal.</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RV-03</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Support Accept, Regenerate, Edit plan, Change model, Keep as alternate and Return upstream.</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RV-04</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Classify failure scope as dialogue, prompt, reference, image, motion, identity, audio, timing, shot plan or story.</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RV-05</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Repair the smallest affected object and preserve approved siblings.</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RV-06</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Allow at most two automatic repair attempts per failure signature by default.</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RV-07</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After the limit, require human review or an explicit policy-authorized model switch.</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RV-08</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Store original, critique, repair instruction and all candidates for comparison and rollback.</w:t>
            </w:r>
          </w:p>
        </w:tc>
      </w:tr>
    </w:tbl>
    <w:p>
      <w:pPr>
        <w:spacing w:after="0"/>
      </w:pPr>
    </w:p>
    <w:p>
      <w:pPr>
        <w:pStyle w:val="Heading2"/>
      </w:pPr>
      <w:r>
        <w:t>5.8 Final timeline and export</w:t>
      </w:r>
    </w:p>
    <w:tbl>
      <w:tblPr>
        <w:tblStyle w:val="TableGrid"/>
        <w:tblW w:type="dxa" w:w="9360"/>
        <w:jc w:val="left"/>
        <w:tblLayout w:type="fixed"/>
        <w:tblLook w:firstColumn="1" w:firstRow="1" w:lastColumn="0" w:lastRow="0" w:noHBand="0" w:noVBand="1" w:val="04A0"/>
        <w:tblInd w:w="120" w:type="dxa"/>
      </w:tblPr>
      <w:tblGrid>
        <w:gridCol w:w="1100"/>
        <w:gridCol w:w="8260"/>
      </w:tblGrid>
      <w:tr>
        <w:trPr>
          <w:tblHeader w:val="true"/>
        </w:trPr>
        <w:tc>
          <w:tcPr>
            <w:tcW w:type="dxa" w:w="1100"/>
            <w:shd w:fill="F2F4F7"/>
            <w:vAlign w:val="center"/>
            <w:tcMar>
              <w:top w:w="80" w:type="dxa"/>
              <w:start w:w="120" w:type="dxa"/>
              <w:bottom w:w="80" w:type="dxa"/>
              <w:end w:w="120" w:type="dxa"/>
            </w:tcMar>
          </w:tcPr>
          <w:p>
            <w:pPr>
              <w:spacing w:after="0"/>
            </w:pPr>
            <w:r>
              <w:rPr>
                <w:rFonts w:ascii="Calibri" w:hAnsi="Calibri"/>
                <w:b/>
                <w:color w:val="163A5A"/>
                <w:sz w:val="18"/>
              </w:rPr>
              <w:t>ID</w:t>
            </w:r>
          </w:p>
        </w:tc>
        <w:tc>
          <w:tcPr>
            <w:tcW w:type="dxa" w:w="8260"/>
            <w:shd w:fill="F2F4F7"/>
            <w:vAlign w:val="center"/>
            <w:tcMar>
              <w:top w:w="80" w:type="dxa"/>
              <w:start w:w="120" w:type="dxa"/>
              <w:bottom w:w="80" w:type="dxa"/>
              <w:end w:w="120" w:type="dxa"/>
            </w:tcMar>
          </w:tcPr>
          <w:p>
            <w:pPr>
              <w:spacing w:after="0"/>
            </w:pPr>
            <w:r>
              <w:rPr>
                <w:rFonts w:ascii="Calibri" w:hAnsi="Calibri"/>
                <w:b/>
                <w:color w:val="163A5A"/>
                <w:sz w:val="18"/>
              </w:rPr>
              <w:t>Requirement</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FN-01</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Place only approved clips/audio on the final timeline unless a user explicitly overrides.</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FN-02</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Support narration, dialogue, music, effects, subtitles, transitions, logo and end card layers.</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FN-03</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Render deterministic overlays such as Hindi text and subtitles outside generative video frames.</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FN-04</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Validate missing shots, order, target duration tolerance, black frames, frozen frames, corruption and resolution.</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FN-05</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Validate audio presence, clipping, loudness policy, silence anomalies and audiovisual duration alignment.</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FN-06</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Validate subtitle spelling, timing, line length and safe-area placement.</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FN-07</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On final failure, reopen only the affected asset or shot and recompose after approval.</w:t>
            </w:r>
          </w:p>
        </w:tc>
      </w:tr>
      <w:tr>
        <w:trPr>
          <w:cantSplit/>
        </w:trPr>
        <w:tc>
          <w:tcPr>
            <w:tcW w:type="dxa" w:w="1100"/>
            <w:vAlign w:val="top"/>
            <w:tcMar>
              <w:top w:w="80" w:type="dxa"/>
              <w:start w:w="120" w:type="dxa"/>
              <w:bottom w:w="80" w:type="dxa"/>
              <w:end w:w="120" w:type="dxa"/>
            </w:tcMar>
          </w:tcPr>
          <w:p>
            <w:pPr>
              <w:spacing w:after="0" w:line="252" w:lineRule="auto"/>
            </w:pPr>
            <w:r>
              <w:rPr>
                <w:rFonts w:ascii="Calibri" w:hAnsi="Calibri"/>
                <w:color w:val="000000"/>
                <w:sz w:val="18"/>
              </w:rPr>
              <w:t>FN-08</w:t>
            </w:r>
          </w:p>
        </w:tc>
        <w:tc>
          <w:tcPr>
            <w:tcW w:type="dxa" w:w="8260"/>
            <w:vAlign w:val="top"/>
            <w:tcMar>
              <w:top w:w="80" w:type="dxa"/>
              <w:start w:w="120" w:type="dxa"/>
              <w:bottom w:w="80" w:type="dxa"/>
              <w:end w:w="120" w:type="dxa"/>
            </w:tcMar>
          </w:tcPr>
          <w:p>
            <w:pPr>
              <w:spacing w:after="0" w:line="252" w:lineRule="auto"/>
            </w:pPr>
            <w:r>
              <w:rPr>
                <w:rFonts w:ascii="Calibri" w:hAnsi="Calibri"/>
                <w:color w:val="000000"/>
                <w:sz w:val="18"/>
              </w:rPr>
              <w:t>Export master MP4, subtitle file, production JSON, asset manifest and cost summary.</w:t>
            </w:r>
          </w:p>
        </w:tc>
      </w:tr>
    </w:tbl>
    <w:p>
      <w:pPr>
        <w:spacing w:after="0"/>
      </w:pPr>
    </w:p>
    <w:p>
      <w:pPr>
        <w:pStyle w:val="Heading1"/>
      </w:pPr>
      <w:r>
        <w:t>6. Four logical AI roles</w:t>
      </w:r>
    </w:p>
    <w:p>
      <w:r>
        <w:t>The roles below are prompts, schemas and permissions inside the production core, not independent services. Different stages may use different OpenRouter models.</w:t>
      </w:r>
    </w:p>
    <w:tbl>
      <w:tblPr>
        <w:tblStyle w:val="TableGrid"/>
        <w:tblW w:type="dxa" w:w="9360"/>
        <w:jc w:val="left"/>
        <w:tblLayout w:type="fixed"/>
        <w:tblLook w:firstColumn="1" w:firstRow="1" w:lastColumn="0" w:lastRow="0" w:noHBand="0" w:noVBand="1" w:val="04A0"/>
        <w:tblInd w:w="120" w:type="dxa"/>
      </w:tblPr>
      <w:tblGrid>
        <w:gridCol w:w="1800"/>
        <w:gridCol w:w="4320"/>
        <w:gridCol w:w="3240"/>
      </w:tblGrid>
      <w:tr>
        <w:trPr>
          <w:tblHeader w:val="true"/>
        </w:trPr>
        <w:tc>
          <w:tcPr>
            <w:tcW w:type="dxa" w:w="1800"/>
            <w:shd w:fill="F2F4F7"/>
            <w:vAlign w:val="center"/>
            <w:tcMar>
              <w:top w:w="80" w:type="dxa"/>
              <w:start w:w="120" w:type="dxa"/>
              <w:bottom w:w="80" w:type="dxa"/>
              <w:end w:w="120" w:type="dxa"/>
            </w:tcMar>
          </w:tcPr>
          <w:p>
            <w:pPr>
              <w:spacing w:after="0"/>
            </w:pPr>
            <w:r>
              <w:rPr>
                <w:rFonts w:ascii="Calibri" w:hAnsi="Calibri"/>
                <w:b/>
                <w:color w:val="163A5A"/>
                <w:sz w:val="18"/>
              </w:rPr>
              <w:t>Role</w:t>
            </w:r>
          </w:p>
        </w:tc>
        <w:tc>
          <w:tcPr>
            <w:tcW w:type="dxa" w:w="4320"/>
            <w:shd w:fill="F2F4F7"/>
            <w:vAlign w:val="center"/>
            <w:tcMar>
              <w:top w:w="80" w:type="dxa"/>
              <w:start w:w="120" w:type="dxa"/>
              <w:bottom w:w="80" w:type="dxa"/>
              <w:end w:w="120" w:type="dxa"/>
            </w:tcMar>
          </w:tcPr>
          <w:p>
            <w:pPr>
              <w:spacing w:after="0"/>
            </w:pPr>
            <w:r>
              <w:rPr>
                <w:rFonts w:ascii="Calibri" w:hAnsi="Calibri"/>
                <w:b/>
                <w:color w:val="163A5A"/>
                <w:sz w:val="18"/>
              </w:rPr>
              <w:t>Owns</w:t>
            </w:r>
          </w:p>
        </w:tc>
        <w:tc>
          <w:tcPr>
            <w:tcW w:type="dxa" w:w="3240"/>
            <w:shd w:fill="F2F4F7"/>
            <w:vAlign w:val="center"/>
            <w:tcMar>
              <w:top w:w="80" w:type="dxa"/>
              <w:start w:w="120" w:type="dxa"/>
              <w:bottom w:w="80" w:type="dxa"/>
              <w:end w:w="120" w:type="dxa"/>
            </w:tcMar>
          </w:tcPr>
          <w:p>
            <w:pPr>
              <w:spacing w:after="0"/>
            </w:pPr>
            <w:r>
              <w:rPr>
                <w:rFonts w:ascii="Calibri" w:hAnsi="Calibri"/>
                <w:b/>
                <w:color w:val="163A5A"/>
                <w:sz w:val="18"/>
              </w:rPr>
              <w:t>May send work back to</w:t>
            </w:r>
          </w:p>
        </w:tc>
      </w:tr>
      <w:tr>
        <w:trPr>
          <w:cantSplit/>
        </w:trPr>
        <w:tc>
          <w:tcPr>
            <w:tcW w:type="dxa" w:w="1800"/>
            <w:vAlign w:val="top"/>
            <w:tcMar>
              <w:top w:w="80" w:type="dxa"/>
              <w:start w:w="120" w:type="dxa"/>
              <w:bottom w:w="80" w:type="dxa"/>
              <w:end w:w="120" w:type="dxa"/>
            </w:tcMar>
          </w:tcPr>
          <w:p>
            <w:pPr>
              <w:spacing w:after="0" w:line="252" w:lineRule="auto"/>
            </w:pPr>
            <w:r>
              <w:rPr>
                <w:rFonts w:ascii="Calibri" w:hAnsi="Calibri"/>
                <w:color w:val="000000"/>
                <w:sz w:val="18"/>
              </w:rPr>
              <w:t>Producer / Analyst</w:t>
            </w:r>
          </w:p>
        </w:tc>
        <w:tc>
          <w:tcPr>
            <w:tcW w:type="dxa" w:w="4320"/>
            <w:vAlign w:val="top"/>
            <w:tcMar>
              <w:top w:w="80" w:type="dxa"/>
              <w:start w:w="120" w:type="dxa"/>
              <w:bottom w:w="80" w:type="dxa"/>
              <w:end w:w="120" w:type="dxa"/>
            </w:tcMar>
          </w:tcPr>
          <w:p>
            <w:pPr>
              <w:spacing w:after="0" w:line="252" w:lineRule="auto"/>
            </w:pPr>
            <w:r>
              <w:rPr>
                <w:rFonts w:ascii="Calibri" w:hAnsi="Calibri"/>
                <w:color w:val="000000"/>
                <w:sz w:val="18"/>
              </w:rPr>
              <w:t>Input understanding, concepts, audience, style, reference evidence</w:t>
            </w:r>
          </w:p>
        </w:tc>
        <w:tc>
          <w:tcPr>
            <w:tcW w:type="dxa" w:w="3240"/>
            <w:vAlign w:val="top"/>
            <w:tcMar>
              <w:top w:w="80" w:type="dxa"/>
              <w:start w:w="120" w:type="dxa"/>
              <w:bottom w:w="80" w:type="dxa"/>
              <w:end w:w="120" w:type="dxa"/>
            </w:tcMar>
          </w:tcPr>
          <w:p>
            <w:pPr>
              <w:spacing w:after="0" w:line="252" w:lineRule="auto"/>
            </w:pPr>
            <w:r>
              <w:rPr>
                <w:rFonts w:ascii="Calibri" w:hAnsi="Calibri"/>
                <w:color w:val="000000"/>
                <w:sz w:val="18"/>
              </w:rPr>
              <w:t>User when input is invalid or ambiguous</w:t>
            </w:r>
          </w:p>
        </w:tc>
      </w:tr>
      <w:tr>
        <w:trPr>
          <w:cantSplit/>
        </w:trPr>
        <w:tc>
          <w:tcPr>
            <w:tcW w:type="dxa" w:w="1800"/>
            <w:vAlign w:val="top"/>
            <w:tcMar>
              <w:top w:w="80" w:type="dxa"/>
              <w:start w:w="120" w:type="dxa"/>
              <w:bottom w:w="80" w:type="dxa"/>
              <w:end w:w="120" w:type="dxa"/>
            </w:tcMar>
          </w:tcPr>
          <w:p>
            <w:pPr>
              <w:spacing w:after="0" w:line="252" w:lineRule="auto"/>
            </w:pPr>
            <w:r>
              <w:rPr>
                <w:rFonts w:ascii="Calibri" w:hAnsi="Calibri"/>
                <w:color w:val="000000"/>
                <w:sz w:val="18"/>
              </w:rPr>
              <w:t>Screenwriter</w:t>
            </w:r>
          </w:p>
        </w:tc>
        <w:tc>
          <w:tcPr>
            <w:tcW w:type="dxa" w:w="4320"/>
            <w:vAlign w:val="top"/>
            <w:tcMar>
              <w:top w:w="80" w:type="dxa"/>
              <w:start w:w="120" w:type="dxa"/>
              <w:bottom w:w="80" w:type="dxa"/>
              <w:end w:w="120" w:type="dxa"/>
            </w:tcMar>
          </w:tcPr>
          <w:p>
            <w:pPr>
              <w:spacing w:after="0" w:line="252" w:lineRule="auto"/>
            </w:pPr>
            <w:r>
              <w:rPr>
                <w:rFonts w:ascii="Calibri" w:hAnsi="Calibri"/>
                <w:color w:val="000000"/>
                <w:sz w:val="18"/>
              </w:rPr>
              <w:t>Story, characters, continuity and Dialogue Room</w:t>
            </w:r>
          </w:p>
        </w:tc>
        <w:tc>
          <w:tcPr>
            <w:tcW w:type="dxa" w:w="3240"/>
            <w:vAlign w:val="top"/>
            <w:tcMar>
              <w:top w:w="80" w:type="dxa"/>
              <w:start w:w="120" w:type="dxa"/>
              <w:bottom w:w="80" w:type="dxa"/>
              <w:end w:w="120" w:type="dxa"/>
            </w:tcMar>
          </w:tcPr>
          <w:p>
            <w:pPr>
              <w:spacing w:after="0" w:line="252" w:lineRule="auto"/>
            </w:pPr>
            <w:r>
              <w:rPr>
                <w:rFonts w:ascii="Calibri" w:hAnsi="Calibri"/>
                <w:color w:val="000000"/>
                <w:sz w:val="18"/>
              </w:rPr>
              <w:t>Producer for concept/structure defects</w:t>
            </w:r>
          </w:p>
        </w:tc>
      </w:tr>
      <w:tr>
        <w:trPr>
          <w:cantSplit/>
        </w:trPr>
        <w:tc>
          <w:tcPr>
            <w:tcW w:type="dxa" w:w="1800"/>
            <w:vAlign w:val="top"/>
            <w:tcMar>
              <w:top w:w="80" w:type="dxa"/>
              <w:start w:w="120" w:type="dxa"/>
              <w:bottom w:w="80" w:type="dxa"/>
              <w:end w:w="120" w:type="dxa"/>
            </w:tcMar>
          </w:tcPr>
          <w:p>
            <w:pPr>
              <w:spacing w:after="0" w:line="252" w:lineRule="auto"/>
            </w:pPr>
            <w:r>
              <w:rPr>
                <w:rFonts w:ascii="Calibri" w:hAnsi="Calibri"/>
                <w:color w:val="000000"/>
                <w:sz w:val="18"/>
              </w:rPr>
              <w:t>Director</w:t>
            </w:r>
          </w:p>
        </w:tc>
        <w:tc>
          <w:tcPr>
            <w:tcW w:type="dxa" w:w="4320"/>
            <w:vAlign w:val="top"/>
            <w:tcMar>
              <w:top w:w="80" w:type="dxa"/>
              <w:start w:w="120" w:type="dxa"/>
              <w:bottom w:w="80" w:type="dxa"/>
              <w:end w:w="120" w:type="dxa"/>
            </w:tcMar>
          </w:tcPr>
          <w:p>
            <w:pPr>
              <w:spacing w:after="0" w:line="252" w:lineRule="auto"/>
            </w:pPr>
            <w:r>
              <w:rPr>
                <w:rFonts w:ascii="Calibri" w:hAnsi="Calibri"/>
                <w:color w:val="000000"/>
                <w:sz w:val="18"/>
              </w:rPr>
              <w:t>Scenes, shots, prompts, model/LoRA plan and preflight</w:t>
            </w:r>
          </w:p>
        </w:tc>
        <w:tc>
          <w:tcPr>
            <w:tcW w:type="dxa" w:w="3240"/>
            <w:vAlign w:val="top"/>
            <w:tcMar>
              <w:top w:w="80" w:type="dxa"/>
              <w:start w:w="120" w:type="dxa"/>
              <w:bottom w:w="80" w:type="dxa"/>
              <w:end w:w="120" w:type="dxa"/>
            </w:tcMar>
          </w:tcPr>
          <w:p>
            <w:pPr>
              <w:spacing w:after="0" w:line="252" w:lineRule="auto"/>
            </w:pPr>
            <w:r>
              <w:rPr>
                <w:rFonts w:ascii="Calibri" w:hAnsi="Calibri"/>
                <w:color w:val="000000"/>
                <w:sz w:val="18"/>
              </w:rPr>
              <w:t>Screenwriter for story/dialogue infeasibility</w:t>
            </w:r>
          </w:p>
        </w:tc>
      </w:tr>
      <w:tr>
        <w:trPr>
          <w:cantSplit/>
        </w:trPr>
        <w:tc>
          <w:tcPr>
            <w:tcW w:type="dxa" w:w="1800"/>
            <w:vAlign w:val="top"/>
            <w:tcMar>
              <w:top w:w="80" w:type="dxa"/>
              <w:start w:w="120" w:type="dxa"/>
              <w:bottom w:w="80" w:type="dxa"/>
              <w:end w:w="120" w:type="dxa"/>
            </w:tcMar>
          </w:tcPr>
          <w:p>
            <w:pPr>
              <w:spacing w:after="0" w:line="252" w:lineRule="auto"/>
            </w:pPr>
            <w:r>
              <w:rPr>
                <w:rFonts w:ascii="Calibri" w:hAnsi="Calibri"/>
                <w:color w:val="000000"/>
                <w:sz w:val="18"/>
              </w:rPr>
              <w:t>Critic / Repair Controller</w:t>
            </w:r>
          </w:p>
        </w:tc>
        <w:tc>
          <w:tcPr>
            <w:tcW w:type="dxa" w:w="4320"/>
            <w:vAlign w:val="top"/>
            <w:tcMar>
              <w:top w:w="80" w:type="dxa"/>
              <w:start w:w="120" w:type="dxa"/>
              <w:bottom w:w="80" w:type="dxa"/>
              <w:end w:w="120" w:type="dxa"/>
            </w:tcMar>
          </w:tcPr>
          <w:p>
            <w:pPr>
              <w:spacing w:after="0" w:line="252" w:lineRule="auto"/>
            </w:pPr>
            <w:r>
              <w:rPr>
                <w:rFonts w:ascii="Calibri" w:hAnsi="Calibri"/>
                <w:color w:val="000000"/>
                <w:sz w:val="18"/>
              </w:rPr>
              <w:t>Asset scoring, diagnosis, repair scope and final creative checks</w:t>
            </w:r>
          </w:p>
        </w:tc>
        <w:tc>
          <w:tcPr>
            <w:tcW w:type="dxa" w:w="3240"/>
            <w:vAlign w:val="top"/>
            <w:tcMar>
              <w:top w:w="80" w:type="dxa"/>
              <w:start w:w="120" w:type="dxa"/>
              <w:bottom w:w="80" w:type="dxa"/>
              <w:end w:w="120" w:type="dxa"/>
            </w:tcMar>
          </w:tcPr>
          <w:p>
            <w:pPr>
              <w:spacing w:after="0" w:line="252" w:lineRule="auto"/>
            </w:pPr>
            <w:r>
              <w:rPr>
                <w:rFonts w:ascii="Calibri" w:hAnsi="Calibri"/>
                <w:color w:val="000000"/>
                <w:sz w:val="18"/>
              </w:rPr>
              <w:t>Director, Screenwriter or Producer according to failure scope</w:t>
            </w:r>
          </w:p>
        </w:tc>
      </w:tr>
    </w:tbl>
    <w:p>
      <w:pPr>
        <w:spacing w:after="0"/>
      </w:pPr>
    </w:p>
    <w:p>
      <w:pPr>
        <w:pStyle w:val="Heading2"/>
      </w:pPr>
      <w:r>
        <w:t>6.1 Stage gates and loop rules</w:t>
      </w:r>
    </w:p>
    <w:tbl>
      <w:tblPr>
        <w:tblStyle w:val="TableGrid"/>
        <w:tblW w:type="dxa" w:w="9360"/>
        <w:jc w:val="left"/>
        <w:tblLayout w:type="fixed"/>
        <w:tblLook w:firstColumn="1" w:firstRow="1" w:lastColumn="0" w:lastRow="0" w:noHBand="0" w:noVBand="1" w:val="04A0"/>
        <w:tblInd w:w="120" w:type="dxa"/>
      </w:tblPr>
      <w:tblGrid>
        <w:gridCol w:w="1350"/>
        <w:gridCol w:w="4770"/>
        <w:gridCol w:w="3240"/>
      </w:tblGrid>
      <w:tr>
        <w:trPr>
          <w:tblHeader w:val="true"/>
        </w:trPr>
        <w:tc>
          <w:tcPr>
            <w:tcW w:type="dxa" w:w="1350"/>
            <w:shd w:fill="F2F4F7"/>
            <w:vAlign w:val="center"/>
            <w:tcMar>
              <w:top w:w="80" w:type="dxa"/>
              <w:start w:w="120" w:type="dxa"/>
              <w:bottom w:w="80" w:type="dxa"/>
              <w:end w:w="120" w:type="dxa"/>
            </w:tcMar>
          </w:tcPr>
          <w:p>
            <w:pPr>
              <w:spacing w:after="0"/>
            </w:pPr>
            <w:r>
              <w:rPr>
                <w:rFonts w:ascii="Calibri" w:hAnsi="Calibri"/>
                <w:b/>
                <w:color w:val="163A5A"/>
                <w:sz w:val="18"/>
              </w:rPr>
              <w:t>Gate</w:t>
            </w:r>
          </w:p>
        </w:tc>
        <w:tc>
          <w:tcPr>
            <w:tcW w:type="dxa" w:w="4770"/>
            <w:shd w:fill="F2F4F7"/>
            <w:vAlign w:val="center"/>
            <w:tcMar>
              <w:top w:w="80" w:type="dxa"/>
              <w:start w:w="120" w:type="dxa"/>
              <w:bottom w:w="80" w:type="dxa"/>
              <w:end w:w="120" w:type="dxa"/>
            </w:tcMar>
          </w:tcPr>
          <w:p>
            <w:pPr>
              <w:spacing w:after="0"/>
            </w:pPr>
            <w:r>
              <w:rPr>
                <w:rFonts w:ascii="Calibri" w:hAnsi="Calibri"/>
                <w:b/>
                <w:color w:val="163A5A"/>
                <w:sz w:val="18"/>
              </w:rPr>
              <w:t>Required checks</w:t>
            </w:r>
          </w:p>
        </w:tc>
        <w:tc>
          <w:tcPr>
            <w:tcW w:type="dxa" w:w="3240"/>
            <w:shd w:fill="F2F4F7"/>
            <w:vAlign w:val="center"/>
            <w:tcMar>
              <w:top w:w="80" w:type="dxa"/>
              <w:start w:w="120" w:type="dxa"/>
              <w:bottom w:w="80" w:type="dxa"/>
              <w:end w:w="120" w:type="dxa"/>
            </w:tcMar>
          </w:tcPr>
          <w:p>
            <w:pPr>
              <w:spacing w:after="0"/>
            </w:pPr>
            <w:r>
              <w:rPr>
                <w:rFonts w:ascii="Calibri" w:hAnsi="Calibri"/>
                <w:b/>
                <w:color w:val="163A5A"/>
                <w:sz w:val="18"/>
              </w:rPr>
              <w:t>Failure action</w:t>
            </w:r>
          </w:p>
        </w:tc>
      </w:tr>
      <w:tr>
        <w:trPr>
          <w:cantSplit/>
        </w:trPr>
        <w:tc>
          <w:tcPr>
            <w:tcW w:type="dxa" w:w="1350"/>
            <w:vAlign w:val="top"/>
            <w:tcMar>
              <w:top w:w="80" w:type="dxa"/>
              <w:start w:w="120" w:type="dxa"/>
              <w:bottom w:w="80" w:type="dxa"/>
              <w:end w:w="120" w:type="dxa"/>
            </w:tcMar>
          </w:tcPr>
          <w:p>
            <w:pPr>
              <w:spacing w:after="0" w:line="252" w:lineRule="auto"/>
            </w:pPr>
            <w:r>
              <w:rPr>
                <w:rFonts w:ascii="Calibri" w:hAnsi="Calibri"/>
                <w:color w:val="000000"/>
                <w:sz w:val="18"/>
              </w:rPr>
              <w:t>Story</w:t>
            </w:r>
          </w:p>
        </w:tc>
        <w:tc>
          <w:tcPr>
            <w:tcW w:type="dxa" w:w="4770"/>
            <w:vAlign w:val="top"/>
            <w:tcMar>
              <w:top w:w="80" w:type="dxa"/>
              <w:start w:w="120" w:type="dxa"/>
              <w:bottom w:w="80" w:type="dxa"/>
              <w:end w:w="120" w:type="dxa"/>
            </w:tcMar>
          </w:tcPr>
          <w:p>
            <w:pPr>
              <w:spacing w:after="0" w:line="252" w:lineRule="auto"/>
            </w:pPr>
            <w:r>
              <w:rPr>
                <w:rFonts w:ascii="Calibri" w:hAnsi="Calibri"/>
                <w:color w:val="000000"/>
                <w:sz w:val="18"/>
              </w:rPr>
              <w:t>Logic, pacing, originality, duration, motivation</w:t>
            </w:r>
          </w:p>
        </w:tc>
        <w:tc>
          <w:tcPr>
            <w:tcW w:type="dxa" w:w="3240"/>
            <w:vAlign w:val="top"/>
            <w:tcMar>
              <w:top w:w="80" w:type="dxa"/>
              <w:start w:w="120" w:type="dxa"/>
              <w:bottom w:w="80" w:type="dxa"/>
              <w:end w:w="120" w:type="dxa"/>
            </w:tcMar>
          </w:tcPr>
          <w:p>
            <w:pPr>
              <w:spacing w:after="0" w:line="252" w:lineRule="auto"/>
            </w:pPr>
            <w:r>
              <w:rPr>
                <w:rFonts w:ascii="Calibri" w:hAnsi="Calibri"/>
                <w:color w:val="000000"/>
                <w:sz w:val="18"/>
              </w:rPr>
              <w:t>Rewrite affected beat/scene</w:t>
            </w:r>
          </w:p>
        </w:tc>
      </w:tr>
      <w:tr>
        <w:trPr>
          <w:cantSplit/>
        </w:trPr>
        <w:tc>
          <w:tcPr>
            <w:tcW w:type="dxa" w:w="1350"/>
            <w:vAlign w:val="top"/>
            <w:tcMar>
              <w:top w:w="80" w:type="dxa"/>
              <w:start w:w="120" w:type="dxa"/>
              <w:bottom w:w="80" w:type="dxa"/>
              <w:end w:w="120" w:type="dxa"/>
            </w:tcMar>
          </w:tcPr>
          <w:p>
            <w:pPr>
              <w:spacing w:after="0" w:line="252" w:lineRule="auto"/>
            </w:pPr>
            <w:r>
              <w:rPr>
                <w:rFonts w:ascii="Calibri" w:hAnsi="Calibri"/>
                <w:color w:val="000000"/>
                <w:sz w:val="18"/>
              </w:rPr>
              <w:t>Dialogue</w:t>
            </w:r>
          </w:p>
        </w:tc>
        <w:tc>
          <w:tcPr>
            <w:tcW w:type="dxa" w:w="4770"/>
            <w:vAlign w:val="top"/>
            <w:tcMar>
              <w:top w:w="80" w:type="dxa"/>
              <w:start w:w="120" w:type="dxa"/>
              <w:bottom w:w="80" w:type="dxa"/>
              <w:end w:w="120" w:type="dxa"/>
            </w:tcMar>
          </w:tcPr>
          <w:p>
            <w:pPr>
              <w:spacing w:after="0" w:line="252" w:lineRule="auto"/>
            </w:pPr>
            <w:r>
              <w:rPr>
                <w:rFonts w:ascii="Calibri" w:hAnsi="Calibri"/>
                <w:color w:val="000000"/>
                <w:sz w:val="18"/>
              </w:rPr>
              <w:t>Reaction, voice, subtext, speakability, knowledge</w:t>
            </w:r>
          </w:p>
        </w:tc>
        <w:tc>
          <w:tcPr>
            <w:tcW w:type="dxa" w:w="3240"/>
            <w:vAlign w:val="top"/>
            <w:tcMar>
              <w:top w:w="80" w:type="dxa"/>
              <w:start w:w="120" w:type="dxa"/>
              <w:bottom w:w="80" w:type="dxa"/>
              <w:end w:w="120" w:type="dxa"/>
            </w:tcMar>
          </w:tcPr>
          <w:p>
            <w:pPr>
              <w:spacing w:after="0" w:line="252" w:lineRule="auto"/>
            </w:pPr>
            <w:r>
              <w:rPr>
                <w:rFonts w:ascii="Calibri" w:hAnsi="Calibri"/>
                <w:color w:val="000000"/>
                <w:sz w:val="18"/>
              </w:rPr>
              <w:t>Rewrite failed lines</w:t>
            </w:r>
          </w:p>
        </w:tc>
      </w:tr>
      <w:tr>
        <w:trPr>
          <w:cantSplit/>
        </w:trPr>
        <w:tc>
          <w:tcPr>
            <w:tcW w:type="dxa" w:w="1350"/>
            <w:vAlign w:val="top"/>
            <w:tcMar>
              <w:top w:w="80" w:type="dxa"/>
              <w:start w:w="120" w:type="dxa"/>
              <w:bottom w:w="80" w:type="dxa"/>
              <w:end w:w="120" w:type="dxa"/>
            </w:tcMar>
          </w:tcPr>
          <w:p>
            <w:pPr>
              <w:spacing w:after="0" w:line="252" w:lineRule="auto"/>
            </w:pPr>
            <w:r>
              <w:rPr>
                <w:rFonts w:ascii="Calibri" w:hAnsi="Calibri"/>
                <w:color w:val="000000"/>
                <w:sz w:val="18"/>
              </w:rPr>
              <w:t>Shot preflight</w:t>
            </w:r>
          </w:p>
        </w:tc>
        <w:tc>
          <w:tcPr>
            <w:tcW w:type="dxa" w:w="4770"/>
            <w:vAlign w:val="top"/>
            <w:tcMar>
              <w:top w:w="80" w:type="dxa"/>
              <w:start w:w="120" w:type="dxa"/>
              <w:bottom w:w="80" w:type="dxa"/>
              <w:end w:w="120" w:type="dxa"/>
            </w:tcMar>
          </w:tcPr>
          <w:p>
            <w:pPr>
              <w:spacing w:after="0" w:line="252" w:lineRule="auto"/>
            </w:pPr>
            <w:r>
              <w:rPr>
                <w:rFonts w:ascii="Calibri" w:hAnsi="Calibri"/>
                <w:color w:val="000000"/>
                <w:sz w:val="18"/>
              </w:rPr>
              <w:t>Timing, continuity, feasibility, references</w:t>
            </w:r>
          </w:p>
        </w:tc>
        <w:tc>
          <w:tcPr>
            <w:tcW w:type="dxa" w:w="3240"/>
            <w:vAlign w:val="top"/>
            <w:tcMar>
              <w:top w:w="80" w:type="dxa"/>
              <w:start w:w="120" w:type="dxa"/>
              <w:bottom w:w="80" w:type="dxa"/>
              <w:end w:w="120" w:type="dxa"/>
            </w:tcMar>
          </w:tcPr>
          <w:p>
            <w:pPr>
              <w:spacing w:after="0" w:line="252" w:lineRule="auto"/>
            </w:pPr>
            <w:r>
              <w:rPr>
                <w:rFonts w:ascii="Calibri" w:hAnsi="Calibri"/>
                <w:color w:val="000000"/>
                <w:sz w:val="18"/>
              </w:rPr>
              <w:t>Repair shot plan</w:t>
            </w:r>
          </w:p>
        </w:tc>
      </w:tr>
      <w:tr>
        <w:trPr>
          <w:cantSplit/>
        </w:trPr>
        <w:tc>
          <w:tcPr>
            <w:tcW w:type="dxa" w:w="1350"/>
            <w:vAlign w:val="top"/>
            <w:tcMar>
              <w:top w:w="80" w:type="dxa"/>
              <w:start w:w="120" w:type="dxa"/>
              <w:bottom w:w="80" w:type="dxa"/>
              <w:end w:w="120" w:type="dxa"/>
            </w:tcMar>
          </w:tcPr>
          <w:p>
            <w:pPr>
              <w:spacing w:after="0" w:line="252" w:lineRule="auto"/>
            </w:pPr>
            <w:r>
              <w:rPr>
                <w:rFonts w:ascii="Calibri" w:hAnsi="Calibri"/>
                <w:color w:val="000000"/>
                <w:sz w:val="18"/>
              </w:rPr>
              <w:t>Image</w:t>
            </w:r>
          </w:p>
        </w:tc>
        <w:tc>
          <w:tcPr>
            <w:tcW w:type="dxa" w:w="4770"/>
            <w:vAlign w:val="top"/>
            <w:tcMar>
              <w:top w:w="80" w:type="dxa"/>
              <w:start w:w="120" w:type="dxa"/>
              <w:bottom w:w="80" w:type="dxa"/>
              <w:end w:w="120" w:type="dxa"/>
            </w:tcMar>
          </w:tcPr>
          <w:p>
            <w:pPr>
              <w:spacing w:after="0" w:line="252" w:lineRule="auto"/>
            </w:pPr>
            <w:r>
              <w:rPr>
                <w:rFonts w:ascii="Calibri" w:hAnsi="Calibri"/>
                <w:color w:val="000000"/>
                <w:sz w:val="18"/>
              </w:rPr>
              <w:t>Identity, style, composition, anatomy, setting</w:t>
            </w:r>
          </w:p>
        </w:tc>
        <w:tc>
          <w:tcPr>
            <w:tcW w:type="dxa" w:w="3240"/>
            <w:vAlign w:val="top"/>
            <w:tcMar>
              <w:top w:w="80" w:type="dxa"/>
              <w:start w:w="120" w:type="dxa"/>
              <w:bottom w:w="80" w:type="dxa"/>
              <w:end w:w="120" w:type="dxa"/>
            </w:tcMar>
          </w:tcPr>
          <w:p>
            <w:pPr>
              <w:spacing w:after="0" w:line="252" w:lineRule="auto"/>
            </w:pPr>
            <w:r>
              <w:rPr>
                <w:rFonts w:ascii="Calibri" w:hAnsi="Calibri"/>
                <w:color w:val="000000"/>
                <w:sz w:val="18"/>
              </w:rPr>
              <w:t>Regenerate/edit image</w:t>
            </w:r>
          </w:p>
        </w:tc>
      </w:tr>
      <w:tr>
        <w:trPr>
          <w:cantSplit/>
        </w:trPr>
        <w:tc>
          <w:tcPr>
            <w:tcW w:type="dxa" w:w="1350"/>
            <w:vAlign w:val="top"/>
            <w:tcMar>
              <w:top w:w="80" w:type="dxa"/>
              <w:start w:w="120" w:type="dxa"/>
              <w:bottom w:w="80" w:type="dxa"/>
              <w:end w:w="120" w:type="dxa"/>
            </w:tcMar>
          </w:tcPr>
          <w:p>
            <w:pPr>
              <w:spacing w:after="0" w:line="252" w:lineRule="auto"/>
            </w:pPr>
            <w:r>
              <w:rPr>
                <w:rFonts w:ascii="Calibri" w:hAnsi="Calibri"/>
                <w:color w:val="000000"/>
                <w:sz w:val="18"/>
              </w:rPr>
              <w:t>Clip</w:t>
            </w:r>
          </w:p>
        </w:tc>
        <w:tc>
          <w:tcPr>
            <w:tcW w:type="dxa" w:w="4770"/>
            <w:vAlign w:val="top"/>
            <w:tcMar>
              <w:top w:w="80" w:type="dxa"/>
              <w:start w:w="120" w:type="dxa"/>
              <w:bottom w:w="80" w:type="dxa"/>
              <w:end w:w="120" w:type="dxa"/>
            </w:tcMar>
          </w:tcPr>
          <w:p>
            <w:pPr>
              <w:spacing w:after="0" w:line="252" w:lineRule="auto"/>
            </w:pPr>
            <w:r>
              <w:rPr>
                <w:rFonts w:ascii="Calibri" w:hAnsi="Calibri"/>
                <w:color w:val="000000"/>
                <w:sz w:val="18"/>
              </w:rPr>
              <w:t>Motion, drift, action, camera, artifacts, lip-sync</w:t>
            </w:r>
          </w:p>
        </w:tc>
        <w:tc>
          <w:tcPr>
            <w:tcW w:type="dxa" w:w="3240"/>
            <w:vAlign w:val="top"/>
            <w:tcMar>
              <w:top w:w="80" w:type="dxa"/>
              <w:start w:w="120" w:type="dxa"/>
              <w:bottom w:w="80" w:type="dxa"/>
              <w:end w:w="120" w:type="dxa"/>
            </w:tcMar>
          </w:tcPr>
          <w:p>
            <w:pPr>
              <w:spacing w:after="0" w:line="252" w:lineRule="auto"/>
            </w:pPr>
            <w:r>
              <w:rPr>
                <w:rFonts w:ascii="Calibri" w:hAnsi="Calibri"/>
                <w:color w:val="000000"/>
                <w:sz w:val="18"/>
              </w:rPr>
              <w:t>Regenerate clip or change model</w:t>
            </w:r>
          </w:p>
        </w:tc>
      </w:tr>
      <w:tr>
        <w:trPr>
          <w:cantSplit/>
        </w:trPr>
        <w:tc>
          <w:tcPr>
            <w:tcW w:type="dxa" w:w="1350"/>
            <w:vAlign w:val="top"/>
            <w:tcMar>
              <w:top w:w="80" w:type="dxa"/>
              <w:start w:w="120" w:type="dxa"/>
              <w:bottom w:w="80" w:type="dxa"/>
              <w:end w:w="120" w:type="dxa"/>
            </w:tcMar>
          </w:tcPr>
          <w:p>
            <w:pPr>
              <w:spacing w:after="0" w:line="252" w:lineRule="auto"/>
            </w:pPr>
            <w:r>
              <w:rPr>
                <w:rFonts w:ascii="Calibri" w:hAnsi="Calibri"/>
                <w:color w:val="000000"/>
                <w:sz w:val="18"/>
              </w:rPr>
              <w:t>Audio</w:t>
            </w:r>
          </w:p>
        </w:tc>
        <w:tc>
          <w:tcPr>
            <w:tcW w:type="dxa" w:w="4770"/>
            <w:vAlign w:val="top"/>
            <w:tcMar>
              <w:top w:w="80" w:type="dxa"/>
              <w:start w:w="120" w:type="dxa"/>
              <w:bottom w:w="80" w:type="dxa"/>
              <w:end w:w="120" w:type="dxa"/>
            </w:tcMar>
          </w:tcPr>
          <w:p>
            <w:pPr>
              <w:spacing w:after="0" w:line="252" w:lineRule="auto"/>
            </w:pPr>
            <w:r>
              <w:rPr>
                <w:rFonts w:ascii="Calibri" w:hAnsi="Calibri"/>
                <w:color w:val="000000"/>
                <w:sz w:val="18"/>
              </w:rPr>
              <w:t>Pronunciation, emotion, timing, clipping, noise</w:t>
            </w:r>
          </w:p>
        </w:tc>
        <w:tc>
          <w:tcPr>
            <w:tcW w:type="dxa" w:w="3240"/>
            <w:vAlign w:val="top"/>
            <w:tcMar>
              <w:top w:w="80" w:type="dxa"/>
              <w:start w:w="120" w:type="dxa"/>
              <w:bottom w:w="80" w:type="dxa"/>
              <w:end w:w="120" w:type="dxa"/>
            </w:tcMar>
          </w:tcPr>
          <w:p>
            <w:pPr>
              <w:spacing w:after="0" w:line="252" w:lineRule="auto"/>
            </w:pPr>
            <w:r>
              <w:rPr>
                <w:rFonts w:ascii="Calibri" w:hAnsi="Calibri"/>
                <w:color w:val="000000"/>
                <w:sz w:val="18"/>
              </w:rPr>
              <w:t>Regenerate sentence/track</w:t>
            </w:r>
          </w:p>
        </w:tc>
      </w:tr>
      <w:tr>
        <w:trPr>
          <w:cantSplit/>
        </w:trPr>
        <w:tc>
          <w:tcPr>
            <w:tcW w:type="dxa" w:w="1350"/>
            <w:vAlign w:val="top"/>
            <w:tcMar>
              <w:top w:w="80" w:type="dxa"/>
              <w:start w:w="120" w:type="dxa"/>
              <w:bottom w:w="80" w:type="dxa"/>
              <w:end w:w="120" w:type="dxa"/>
            </w:tcMar>
          </w:tcPr>
          <w:p>
            <w:pPr>
              <w:spacing w:after="0" w:line="252" w:lineRule="auto"/>
            </w:pPr>
            <w:r>
              <w:rPr>
                <w:rFonts w:ascii="Calibri" w:hAnsi="Calibri"/>
                <w:color w:val="000000"/>
                <w:sz w:val="18"/>
              </w:rPr>
              <w:t>Final</w:t>
            </w:r>
          </w:p>
        </w:tc>
        <w:tc>
          <w:tcPr>
            <w:tcW w:type="dxa" w:w="4770"/>
            <w:vAlign w:val="top"/>
            <w:tcMar>
              <w:top w:w="80" w:type="dxa"/>
              <w:start w:w="120" w:type="dxa"/>
              <w:bottom w:w="80" w:type="dxa"/>
              <w:end w:w="120" w:type="dxa"/>
            </w:tcMar>
          </w:tcPr>
          <w:p>
            <w:pPr>
              <w:spacing w:after="0" w:line="252" w:lineRule="auto"/>
            </w:pPr>
            <w:r>
              <w:rPr>
                <w:rFonts w:ascii="Calibri" w:hAnsi="Calibri"/>
                <w:color w:val="000000"/>
                <w:sz w:val="18"/>
              </w:rPr>
              <w:t>Completeness, continuity, subtitles, mix, integrity</w:t>
            </w:r>
          </w:p>
        </w:tc>
        <w:tc>
          <w:tcPr>
            <w:tcW w:type="dxa" w:w="3240"/>
            <w:vAlign w:val="top"/>
            <w:tcMar>
              <w:top w:w="80" w:type="dxa"/>
              <w:start w:w="120" w:type="dxa"/>
              <w:bottom w:w="80" w:type="dxa"/>
              <w:end w:w="120" w:type="dxa"/>
            </w:tcMar>
          </w:tcPr>
          <w:p>
            <w:pPr>
              <w:spacing w:after="0" w:line="252" w:lineRule="auto"/>
            </w:pPr>
            <w:r>
              <w:rPr>
                <w:rFonts w:ascii="Calibri" w:hAnsi="Calibri"/>
                <w:color w:val="000000"/>
                <w:sz w:val="18"/>
              </w:rPr>
              <w:t>Recompose or reopen failed item</w:t>
            </w:r>
          </w:p>
        </w:tc>
      </w:tr>
    </w:tbl>
    <w:p>
      <w:pPr>
        <w:spacing w:after="0"/>
      </w:pPr>
    </w:p>
    <w:p>
      <w:pPr>
        <w:pStyle w:val="Heading1"/>
      </w:pPr>
      <w:r>
        <w:t>7. Architecture</w:t>
      </w:r>
    </w:p>
    <w:p>
      <w:r>
        <w:drawing>
          <wp:inline xmlns:a="http://schemas.openxmlformats.org/drawingml/2006/main" xmlns:pic="http://schemas.openxmlformats.org/drawingml/2006/picture">
            <wp:extent cx="5897880" cy="3237476"/>
            <wp:docPr id="2" name="Picture 2" title="Provider-neutral modular monolith" descr="React Content Workspace connects to a NestJS Production Core. The core uses PostgreSQL and object storage, BullMQ workers and FFmpeg media processing. External adapters connect to OpenRouter, FAL AI and an optional future provider."/>
            <wp:cNvGraphicFramePr>
              <a:graphicFrameLocks noChangeAspect="1"/>
            </wp:cNvGraphicFramePr>
            <a:graphic>
              <a:graphicData uri="http://schemas.openxmlformats.org/drawingml/2006/picture">
                <pic:pic>
                  <pic:nvPicPr>
                    <pic:cNvPr id="0" name="architecture.png"/>
                    <pic:cNvPicPr/>
                  </pic:nvPicPr>
                  <pic:blipFill>
                    <a:blip r:embed="rId12"/>
                    <a:stretch>
                      <a:fillRect/>
                    </a:stretch>
                  </pic:blipFill>
                  <pic:spPr>
                    <a:xfrm>
                      <a:off x="0" y="0"/>
                      <a:ext cx="5897880" cy="3237476"/>
                    </a:xfrm>
                    <a:prstGeom prst="rect"/>
                  </pic:spPr>
                </pic:pic>
              </a:graphicData>
            </a:graphic>
          </wp:inline>
        </w:drawing>
      </w:r>
    </w:p>
    <w:p>
      <w:pPr>
        <w:spacing w:after="160"/>
        <w:jc w:val="center"/>
      </w:pPr>
      <w:r>
        <w:t>Figure 2. MVP architecture with owned production core and replaceable providers.</w:t>
      </w:r>
    </w:p>
    <w:p>
      <w:pPr>
        <w:pStyle w:val="Heading2"/>
      </w:pPr>
      <w:r>
        <w:t>7.1 Component responsibilities</w:t>
      </w:r>
    </w:p>
    <w:tbl>
      <w:tblPr>
        <w:tblStyle w:val="TableGrid"/>
        <w:tblW w:type="dxa" w:w="9360"/>
        <w:jc w:val="left"/>
        <w:tblLayout w:type="fixed"/>
        <w:tblLook w:firstColumn="1" w:firstRow="1" w:lastColumn="0" w:lastRow="0" w:noHBand="0" w:noVBand="1" w:val="04A0"/>
        <w:tblInd w:w="120" w:type="dxa"/>
      </w:tblPr>
      <w:tblGrid>
        <w:gridCol w:w="2500"/>
        <w:gridCol w:w="6860"/>
      </w:tblGrid>
      <w:tr>
        <w:trPr>
          <w:tblHeader w:val="true"/>
        </w:trPr>
        <w:tc>
          <w:tcPr>
            <w:tcW w:type="dxa" w:w="2500"/>
            <w:shd w:fill="F2F4F7"/>
            <w:vAlign w:val="center"/>
            <w:tcMar>
              <w:top w:w="80" w:type="dxa"/>
              <w:start w:w="120" w:type="dxa"/>
              <w:bottom w:w="80" w:type="dxa"/>
              <w:end w:w="120" w:type="dxa"/>
            </w:tcMar>
          </w:tcPr>
          <w:p>
            <w:pPr>
              <w:spacing w:after="0"/>
            </w:pPr>
            <w:r>
              <w:rPr>
                <w:rFonts w:ascii="Calibri" w:hAnsi="Calibri"/>
                <w:b/>
                <w:color w:val="163A5A"/>
                <w:sz w:val="18"/>
              </w:rPr>
              <w:t>Component</w:t>
            </w:r>
          </w:p>
        </w:tc>
        <w:tc>
          <w:tcPr>
            <w:tcW w:type="dxa" w:w="6860"/>
            <w:shd w:fill="F2F4F7"/>
            <w:vAlign w:val="center"/>
            <w:tcMar>
              <w:top w:w="80" w:type="dxa"/>
              <w:start w:w="120" w:type="dxa"/>
              <w:bottom w:w="80" w:type="dxa"/>
              <w:end w:w="120" w:type="dxa"/>
            </w:tcMar>
          </w:tcPr>
          <w:p>
            <w:pPr>
              <w:spacing w:after="0"/>
            </w:pPr>
            <w:r>
              <w:rPr>
                <w:rFonts w:ascii="Calibri" w:hAnsi="Calibri"/>
                <w:b/>
                <w:color w:val="163A5A"/>
                <w:sz w:val="18"/>
              </w:rPr>
              <w:t>Responsibility</w:t>
            </w:r>
          </w:p>
        </w:tc>
      </w:tr>
      <w:tr>
        <w:trPr>
          <w:cantSplit/>
        </w:trPr>
        <w:tc>
          <w:tcPr>
            <w:tcW w:type="dxa" w:w="2500"/>
            <w:vAlign w:val="top"/>
            <w:tcMar>
              <w:top w:w="80" w:type="dxa"/>
              <w:start w:w="120" w:type="dxa"/>
              <w:bottom w:w="80" w:type="dxa"/>
              <w:end w:w="120" w:type="dxa"/>
            </w:tcMar>
          </w:tcPr>
          <w:p>
            <w:pPr>
              <w:spacing w:after="0" w:line="252" w:lineRule="auto"/>
            </w:pPr>
            <w:r>
              <w:rPr>
                <w:rFonts w:ascii="Calibri" w:hAnsi="Calibri"/>
                <w:color w:val="000000"/>
                <w:sz w:val="18"/>
              </w:rPr>
              <w:t>React workspace</w:t>
            </w:r>
          </w:p>
        </w:tc>
        <w:tc>
          <w:tcPr>
            <w:tcW w:type="dxa" w:w="6860"/>
            <w:vAlign w:val="top"/>
            <w:tcMar>
              <w:top w:w="80" w:type="dxa"/>
              <w:start w:w="120" w:type="dxa"/>
              <w:bottom w:w="80" w:type="dxa"/>
              <w:end w:w="120" w:type="dxa"/>
            </w:tcMar>
          </w:tcPr>
          <w:p>
            <w:pPr>
              <w:spacing w:after="0" w:line="252" w:lineRule="auto"/>
            </w:pPr>
            <w:r>
              <w:rPr>
                <w:rFonts w:ascii="Calibri" w:hAnsi="Calibri"/>
                <w:color w:val="000000"/>
                <w:sz w:val="18"/>
              </w:rPr>
              <w:t>Content editing, approvals, review queue, timeline, status and cost visibility.</w:t>
            </w:r>
          </w:p>
        </w:tc>
      </w:tr>
      <w:tr>
        <w:trPr>
          <w:cantSplit/>
        </w:trPr>
        <w:tc>
          <w:tcPr>
            <w:tcW w:type="dxa" w:w="2500"/>
            <w:vAlign w:val="top"/>
            <w:tcMar>
              <w:top w:w="80" w:type="dxa"/>
              <w:start w:w="120" w:type="dxa"/>
              <w:bottom w:w="80" w:type="dxa"/>
              <w:end w:w="120" w:type="dxa"/>
            </w:tcMar>
          </w:tcPr>
          <w:p>
            <w:pPr>
              <w:spacing w:after="0" w:line="252" w:lineRule="auto"/>
            </w:pPr>
            <w:r>
              <w:rPr>
                <w:rFonts w:ascii="Calibri" w:hAnsi="Calibri"/>
                <w:color w:val="000000"/>
                <w:sz w:val="18"/>
              </w:rPr>
              <w:t>NestJS production core</w:t>
            </w:r>
          </w:p>
        </w:tc>
        <w:tc>
          <w:tcPr>
            <w:tcW w:type="dxa" w:w="6860"/>
            <w:vAlign w:val="top"/>
            <w:tcMar>
              <w:top w:w="80" w:type="dxa"/>
              <w:start w:w="120" w:type="dxa"/>
              <w:bottom w:w="80" w:type="dxa"/>
              <w:end w:w="120" w:type="dxa"/>
            </w:tcMar>
          </w:tcPr>
          <w:p>
            <w:pPr>
              <w:spacing w:after="0" w:line="252" w:lineRule="auto"/>
            </w:pPr>
            <w:r>
              <w:rPr>
                <w:rFonts w:ascii="Calibri" w:hAnsi="Calibri"/>
                <w:color w:val="000000"/>
                <w:sz w:val="18"/>
              </w:rPr>
              <w:t>Projects, schemas, permissions, locks, state transitions, versions, lineage, policy and adapters.</w:t>
            </w:r>
          </w:p>
        </w:tc>
      </w:tr>
      <w:tr>
        <w:trPr>
          <w:cantSplit/>
        </w:trPr>
        <w:tc>
          <w:tcPr>
            <w:tcW w:type="dxa" w:w="2500"/>
            <w:vAlign w:val="top"/>
            <w:tcMar>
              <w:top w:w="80" w:type="dxa"/>
              <w:start w:w="120" w:type="dxa"/>
              <w:bottom w:w="80" w:type="dxa"/>
              <w:end w:w="120" w:type="dxa"/>
            </w:tcMar>
          </w:tcPr>
          <w:p>
            <w:pPr>
              <w:spacing w:after="0" w:line="252" w:lineRule="auto"/>
            </w:pPr>
            <w:r>
              <w:rPr>
                <w:rFonts w:ascii="Calibri" w:hAnsi="Calibri"/>
                <w:color w:val="000000"/>
                <w:sz w:val="18"/>
              </w:rPr>
              <w:t>PostgreSQL</w:t>
            </w:r>
          </w:p>
        </w:tc>
        <w:tc>
          <w:tcPr>
            <w:tcW w:type="dxa" w:w="6860"/>
            <w:vAlign w:val="top"/>
            <w:tcMar>
              <w:top w:w="80" w:type="dxa"/>
              <w:start w:w="120" w:type="dxa"/>
              <w:bottom w:w="80" w:type="dxa"/>
              <w:end w:w="120" w:type="dxa"/>
            </w:tcMar>
          </w:tcPr>
          <w:p>
            <w:pPr>
              <w:spacing w:after="0" w:line="252" w:lineRule="auto"/>
            </w:pPr>
            <w:r>
              <w:rPr>
                <w:rFonts w:ascii="Calibri" w:hAnsi="Calibri"/>
                <w:color w:val="000000"/>
                <w:sz w:val="18"/>
              </w:rPr>
              <w:t>Structured source of truth for projects, creative objects, jobs, reviews, costs and model history.</w:t>
            </w:r>
          </w:p>
        </w:tc>
      </w:tr>
      <w:tr>
        <w:trPr>
          <w:cantSplit/>
        </w:trPr>
        <w:tc>
          <w:tcPr>
            <w:tcW w:type="dxa" w:w="2500"/>
            <w:vAlign w:val="top"/>
            <w:tcMar>
              <w:top w:w="80" w:type="dxa"/>
              <w:start w:w="120" w:type="dxa"/>
              <w:bottom w:w="80" w:type="dxa"/>
              <w:end w:w="120" w:type="dxa"/>
            </w:tcMar>
          </w:tcPr>
          <w:p>
            <w:pPr>
              <w:spacing w:after="0" w:line="252" w:lineRule="auto"/>
            </w:pPr>
            <w:r>
              <w:rPr>
                <w:rFonts w:ascii="Calibri" w:hAnsi="Calibri"/>
                <w:color w:val="000000"/>
                <w:sz w:val="18"/>
              </w:rPr>
              <w:t>Object storage</w:t>
            </w:r>
          </w:p>
        </w:tc>
        <w:tc>
          <w:tcPr>
            <w:tcW w:type="dxa" w:w="6860"/>
            <w:vAlign w:val="top"/>
            <w:tcMar>
              <w:top w:w="80" w:type="dxa"/>
              <w:start w:w="120" w:type="dxa"/>
              <w:bottom w:w="80" w:type="dxa"/>
              <w:end w:w="120" w:type="dxa"/>
            </w:tcMar>
          </w:tcPr>
          <w:p>
            <w:pPr>
              <w:spacing w:after="0" w:line="252" w:lineRule="auto"/>
            </w:pPr>
            <w:r>
              <w:rPr>
                <w:rFonts w:ascii="Calibri" w:hAnsi="Calibri"/>
                <w:color w:val="000000"/>
                <w:sz w:val="18"/>
              </w:rPr>
              <w:t>Source files, extracted frames, generated media, exports and immutable asset versions.</w:t>
            </w:r>
          </w:p>
        </w:tc>
      </w:tr>
      <w:tr>
        <w:trPr>
          <w:cantSplit/>
        </w:trPr>
        <w:tc>
          <w:tcPr>
            <w:tcW w:type="dxa" w:w="2500"/>
            <w:vAlign w:val="top"/>
            <w:tcMar>
              <w:top w:w="80" w:type="dxa"/>
              <w:start w:w="120" w:type="dxa"/>
              <w:bottom w:w="80" w:type="dxa"/>
              <w:end w:w="120" w:type="dxa"/>
            </w:tcMar>
          </w:tcPr>
          <w:p>
            <w:pPr>
              <w:spacing w:after="0" w:line="252" w:lineRule="auto"/>
            </w:pPr>
            <w:r>
              <w:rPr>
                <w:rFonts w:ascii="Calibri" w:hAnsi="Calibri"/>
                <w:color w:val="000000"/>
                <w:sz w:val="18"/>
              </w:rPr>
              <w:t>Redis/BullMQ</w:t>
            </w:r>
          </w:p>
        </w:tc>
        <w:tc>
          <w:tcPr>
            <w:tcW w:type="dxa" w:w="6860"/>
            <w:vAlign w:val="top"/>
            <w:tcMar>
              <w:top w:w="80" w:type="dxa"/>
              <w:start w:w="120" w:type="dxa"/>
              <w:bottom w:w="80" w:type="dxa"/>
              <w:end w:w="120" w:type="dxa"/>
            </w:tcMar>
          </w:tcPr>
          <w:p>
            <w:pPr>
              <w:spacing w:after="0" w:line="252" w:lineRule="auto"/>
            </w:pPr>
            <w:r>
              <w:rPr>
                <w:rFonts w:ascii="Calibri" w:hAnsi="Calibri"/>
                <w:color w:val="000000"/>
                <w:sz w:val="18"/>
              </w:rPr>
              <w:t>Asynchronous jobs, concurrency, retries, scheduled polling and resumable checkpoints.</w:t>
            </w:r>
          </w:p>
        </w:tc>
      </w:tr>
      <w:tr>
        <w:trPr>
          <w:cantSplit/>
        </w:trPr>
        <w:tc>
          <w:tcPr>
            <w:tcW w:type="dxa" w:w="2500"/>
            <w:vAlign w:val="top"/>
            <w:tcMar>
              <w:top w:w="80" w:type="dxa"/>
              <w:start w:w="120" w:type="dxa"/>
              <w:bottom w:w="80" w:type="dxa"/>
              <w:end w:w="120" w:type="dxa"/>
            </w:tcMar>
          </w:tcPr>
          <w:p>
            <w:pPr>
              <w:spacing w:after="0" w:line="252" w:lineRule="auto"/>
            </w:pPr>
            <w:r>
              <w:rPr>
                <w:rFonts w:ascii="Calibri" w:hAnsi="Calibri"/>
                <w:color w:val="000000"/>
                <w:sz w:val="18"/>
              </w:rPr>
              <w:t>Media worker</w:t>
            </w:r>
          </w:p>
        </w:tc>
        <w:tc>
          <w:tcPr>
            <w:tcW w:type="dxa" w:w="6860"/>
            <w:vAlign w:val="top"/>
            <w:tcMar>
              <w:top w:w="80" w:type="dxa"/>
              <w:start w:w="120" w:type="dxa"/>
              <w:bottom w:w="80" w:type="dxa"/>
              <w:end w:w="120" w:type="dxa"/>
            </w:tcMar>
          </w:tcPr>
          <w:p>
            <w:pPr>
              <w:spacing w:after="0" w:line="252" w:lineRule="auto"/>
            </w:pPr>
            <w:r>
              <w:rPr>
                <w:rFonts w:ascii="Calibri" w:hAnsi="Calibri"/>
                <w:color w:val="000000"/>
                <w:sz w:val="18"/>
              </w:rPr>
              <w:t>FFmpeg/scene detection/transcription integration, media validation, deterministic assembly and technical QA.</w:t>
            </w:r>
          </w:p>
        </w:tc>
      </w:tr>
      <w:tr>
        <w:trPr>
          <w:cantSplit/>
        </w:trPr>
        <w:tc>
          <w:tcPr>
            <w:tcW w:type="dxa" w:w="2500"/>
            <w:vAlign w:val="top"/>
            <w:tcMar>
              <w:top w:w="80" w:type="dxa"/>
              <w:start w:w="120" w:type="dxa"/>
              <w:bottom w:w="80" w:type="dxa"/>
              <w:end w:w="120" w:type="dxa"/>
            </w:tcMar>
          </w:tcPr>
          <w:p>
            <w:pPr>
              <w:spacing w:after="0" w:line="252" w:lineRule="auto"/>
            </w:pPr>
            <w:r>
              <w:rPr>
                <w:rFonts w:ascii="Calibri" w:hAnsi="Calibri"/>
                <w:color w:val="000000"/>
                <w:sz w:val="18"/>
              </w:rPr>
              <w:t>OpenRouter adapter</w:t>
            </w:r>
          </w:p>
        </w:tc>
        <w:tc>
          <w:tcPr>
            <w:tcW w:type="dxa" w:w="6860"/>
            <w:vAlign w:val="top"/>
            <w:tcMar>
              <w:top w:w="80" w:type="dxa"/>
              <w:start w:w="120" w:type="dxa"/>
              <w:bottom w:w="80" w:type="dxa"/>
              <w:end w:w="120" w:type="dxa"/>
            </w:tcMar>
          </w:tcPr>
          <w:p>
            <w:pPr>
              <w:spacing w:after="0" w:line="252" w:lineRule="auto"/>
            </w:pPr>
            <w:r>
              <w:rPr>
                <w:rFonts w:ascii="Calibri" w:hAnsi="Calibri"/>
                <w:color w:val="000000"/>
                <w:sz w:val="18"/>
              </w:rPr>
              <w:t>Model catalogue, structured LLM/vision requests, fallbacks, budgets and response normalization.</w:t>
            </w:r>
          </w:p>
        </w:tc>
      </w:tr>
      <w:tr>
        <w:trPr>
          <w:cantSplit/>
        </w:trPr>
        <w:tc>
          <w:tcPr>
            <w:tcW w:type="dxa" w:w="2500"/>
            <w:vAlign w:val="top"/>
            <w:tcMar>
              <w:top w:w="80" w:type="dxa"/>
              <w:start w:w="120" w:type="dxa"/>
              <w:bottom w:w="80" w:type="dxa"/>
              <w:end w:w="120" w:type="dxa"/>
            </w:tcMar>
          </w:tcPr>
          <w:p>
            <w:pPr>
              <w:spacing w:after="0" w:line="252" w:lineRule="auto"/>
            </w:pPr>
            <w:r>
              <w:rPr>
                <w:rFonts w:ascii="Calibri" w:hAnsi="Calibri"/>
                <w:color w:val="000000"/>
                <w:sz w:val="18"/>
              </w:rPr>
              <w:t>FAL adapter</w:t>
            </w:r>
          </w:p>
        </w:tc>
        <w:tc>
          <w:tcPr>
            <w:tcW w:type="dxa" w:w="6860"/>
            <w:vAlign w:val="top"/>
            <w:tcMar>
              <w:top w:w="80" w:type="dxa"/>
              <w:start w:w="120" w:type="dxa"/>
              <w:bottom w:w="80" w:type="dxa"/>
              <w:end w:w="120" w:type="dxa"/>
            </w:tcMar>
          </w:tcPr>
          <w:p>
            <w:pPr>
              <w:spacing w:after="0" w:line="252" w:lineRule="auto"/>
            </w:pPr>
            <w:r>
              <w:rPr>
                <w:rFonts w:ascii="Calibri" w:hAnsi="Calibri"/>
                <w:color w:val="000000"/>
                <w:sz w:val="18"/>
              </w:rPr>
              <w:t>Capability-based media operations, queue submission, webhooks, status and result normalization.</w:t>
            </w:r>
          </w:p>
        </w:tc>
      </w:tr>
    </w:tbl>
    <w:p>
      <w:pPr>
        <w:spacing w:after="0"/>
      </w:pPr>
    </w:p>
    <w:p>
      <w:pPr>
        <w:pStyle w:val="Heading2"/>
      </w:pPr>
      <w:r>
        <w:t>7.2 Why no mandatory direct Gemini dependency in MVP</w:t>
      </w:r>
    </w:p>
    <w:p>
      <w:r>
        <w:t>Because analysed inspiration videos are now restricted to under 5 minutes, the MVP can reliably preprocess them into a compact evidence bundle: scene boundaries, selected frames, transcript and audio/media metadata. This bundle can be analysed through OpenRouter without requiring a third production provider. The internal analyzeVideo contract must still allow a future video-native adapter if quality testing shows a material advantage.</w:t>
      </w:r>
    </w:p>
    <w:tbl>
      <w:tblPr>
        <w:tblStyle w:val="TableGrid"/>
        <w:tblW w:type="dxa" w:w="9360"/>
        <w:jc w:val="left"/>
        <w:tblLayout w:type="fixed"/>
        <w:tblLook w:firstColumn="1" w:firstRow="1" w:lastColumn="0" w:lastRow="0" w:noHBand="0" w:noVBand="1" w:val="04A0"/>
        <w:tblInd w:w="120" w:type="dxa"/>
      </w:tblPr>
      <w:tblGrid>
        <w:gridCol w:w="9360"/>
      </w:tblGrid>
      <w:tr>
        <w:trPr>
          <w:tblHeader w:val="true"/>
        </w:trPr>
        <w:tc>
          <w:tcPr>
            <w:tcW w:type="dxa" w:w="9360"/>
            <w:tcMar>
              <w:top w:w="80" w:type="dxa"/>
              <w:start w:w="120" w:type="dxa"/>
              <w:bottom w:w="80" w:type="dxa"/>
              <w:end w:w="120" w:type="dxa"/>
            </w:tcMar>
            <w:shd w:fill="F7F3E8"/>
          </w:tcPr>
          <w:p>
            <w:pPr>
              <w:spacing w:after="0"/>
            </w:pPr>
            <w:r>
              <w:rPr>
                <w:rFonts w:ascii="Calibri" w:hAnsi="Calibri"/>
                <w:b/>
                <w:color w:val="163A5A"/>
              </w:rPr>
              <w:t xml:space="preserve">Dependency policy: </w:t>
            </w:r>
            <w:r>
              <w:rPr>
                <w:rFonts w:ascii="Calibri" w:hAnsi="Calibri"/>
              </w:rPr>
              <w:t>OpenRouter and FAL AI are required external providers for MVP. Any direct video-native cloud API or self-hosted generation engine is optional and must plug into an existing internal interface.</w:t>
            </w:r>
          </w:p>
        </w:tc>
      </w:tr>
    </w:tbl>
    <w:p>
      <w:pPr>
        <w:spacing w:after="0"/>
      </w:pPr>
    </w:p>
    <w:p>
      <w:pPr>
        <w:pStyle w:val="Heading1"/>
      </w:pPr>
      <w:r>
        <w:t>8. Model routing and LoRA policy</w:t>
      </w:r>
    </w:p>
    <w:p>
      <w:pPr>
        <w:pStyle w:val="Heading2"/>
      </w:pPr>
      <w:r>
        <w:t>8.1 Model registry</w:t>
      </w:r>
    </w:p>
    <w:p>
      <w:r>
        <w:t>The application must select by capability and policy before using LLM judgement. Each registered model profile stores:</w:t>
      </w:r>
    </w:p>
    <w:p>
      <w:pPr>
        <w:pStyle w:val="ListBullet"/>
        <w:spacing w:after="80" w:line="264" w:lineRule="auto"/>
      </w:pPr>
      <w:r>
        <w:rPr>
          <w:rFonts w:ascii="Calibri" w:hAnsi="Calibri"/>
        </w:rPr>
        <w:t>Provider, endpoint/model ID, modality and supported operation.</w:t>
      </w:r>
    </w:p>
    <w:p>
      <w:pPr>
        <w:pStyle w:val="ListBullet"/>
        <w:spacing w:after="80" w:line="264" w:lineRule="auto"/>
      </w:pPr>
      <w:r>
        <w:rPr>
          <w:rFonts w:ascii="Calibri" w:hAnsi="Calibri"/>
        </w:rPr>
        <w:t>Maximum input/output limits, resolution, duration and aspect ratios.</w:t>
      </w:r>
    </w:p>
    <w:p>
      <w:pPr>
        <w:pStyle w:val="ListBullet"/>
        <w:spacing w:after="80" w:line="264" w:lineRule="auto"/>
      </w:pPr>
      <w:r>
        <w:rPr>
          <w:rFonts w:ascii="Calibri" w:hAnsi="Calibri"/>
        </w:rPr>
        <w:t>Reference-image, editing, audio, lip-sync and LoRA compatibility.</w:t>
      </w:r>
    </w:p>
    <w:p>
      <w:pPr>
        <w:pStyle w:val="ListBullet"/>
        <w:spacing w:after="80" w:line="264" w:lineRule="auto"/>
      </w:pPr>
      <w:r>
        <w:rPr>
          <w:rFonts w:ascii="Calibri" w:hAnsi="Calibri"/>
        </w:rPr>
        <w:t>Expected cost, latency, quality tier, fallback and concurrency limits.</w:t>
      </w:r>
    </w:p>
    <w:p>
      <w:pPr>
        <w:pStyle w:val="ListBullet"/>
        <w:spacing w:after="80" w:line="264" w:lineRule="auto"/>
      </w:pPr>
      <w:r>
        <w:rPr>
          <w:rFonts w:ascii="Calibri" w:hAnsi="Calibri"/>
        </w:rPr>
        <w:t>Best-use tags, known weaknesses, historical approval rate and regeneration rate.</w:t>
      </w:r>
    </w:p>
    <w:p>
      <w:pPr>
        <w:pStyle w:val="ListBullet"/>
        <w:spacing w:after="80" w:line="264" w:lineRule="auto"/>
      </w:pPr>
      <w:r>
        <w:rPr>
          <w:rFonts w:ascii="Calibri" w:hAnsi="Calibri"/>
        </w:rPr>
        <w:t>Commercial-use status and any project-level restrictions.</w:t>
      </w:r>
    </w:p>
    <w:p>
      <w:pPr>
        <w:pStyle w:val="Heading2"/>
      </w:pPr>
      <w:r>
        <w:t>8.2 Selection sequence</w:t>
      </w:r>
    </w:p>
    <w:p>
      <w:pPr>
        <w:pStyle w:val="ListNumber"/>
        <w:spacing w:after="80" w:line="264" w:lineRule="auto"/>
      </w:pPr>
      <w:r>
        <w:rPr>
          <w:rFonts w:ascii="Calibri" w:hAnsi="Calibri"/>
        </w:rPr>
        <w:t>Filter by required capability and hard technical constraints.</w:t>
      </w:r>
    </w:p>
    <w:p>
      <w:pPr>
        <w:pStyle w:val="ListNumber"/>
        <w:spacing w:after="80" w:line="264" w:lineRule="auto"/>
      </w:pPr>
      <w:r>
        <w:rPr>
          <w:rFonts w:ascii="Calibri" w:hAnsi="Calibri"/>
        </w:rPr>
        <w:t>Apply project budget, latency, quality and licence policy.</w:t>
      </w:r>
    </w:p>
    <w:p>
      <w:pPr>
        <w:pStyle w:val="ListNumber"/>
        <w:spacing w:after="80" w:line="264" w:lineRule="auto"/>
      </w:pPr>
      <w:r>
        <w:rPr>
          <w:rFonts w:ascii="Calibri" w:hAnsi="Calibri"/>
        </w:rPr>
        <w:t>Rank by historical acceptance and regeneration performance for similar shots.</w:t>
      </w:r>
    </w:p>
    <w:p>
      <w:pPr>
        <w:pStyle w:val="ListNumber"/>
        <w:spacing w:after="80" w:line="264" w:lineRule="auto"/>
      </w:pPr>
      <w:r>
        <w:rPr>
          <w:rFonts w:ascii="Calibri" w:hAnsi="Calibri"/>
        </w:rPr>
        <w:t>Let the Director choose between the top candidates only when creative judgement is material.</w:t>
      </w:r>
    </w:p>
    <w:p>
      <w:pPr>
        <w:pStyle w:val="ListNumber"/>
        <w:spacing w:after="80" w:line="264" w:lineRule="auto"/>
      </w:pPr>
      <w:r>
        <w:rPr>
          <w:rFonts w:ascii="Calibri" w:hAnsi="Calibri"/>
        </w:rPr>
        <w:t>Record the chosen model, parameters, reason, cost and outcome for learning and audit.</w:t>
      </w:r>
    </w:p>
    <w:p>
      <w:pPr>
        <w:pStyle w:val="Heading2"/>
      </w:pPr>
      <w:r>
        <w:t>8.3 LoRA registry and selection</w:t>
      </w:r>
    </w:p>
    <w:tbl>
      <w:tblPr>
        <w:tblStyle w:val="TableGrid"/>
        <w:tblW w:type="dxa" w:w="9360"/>
        <w:jc w:val="left"/>
        <w:tblLayout w:type="fixed"/>
        <w:tblLook w:firstColumn="1" w:firstRow="1" w:lastColumn="0" w:lastRow="0" w:noHBand="0" w:noVBand="1" w:val="04A0"/>
        <w:tblInd w:w="120" w:type="dxa"/>
      </w:tblPr>
      <w:tblGrid>
        <w:gridCol w:w="2100"/>
        <w:gridCol w:w="7260"/>
      </w:tblGrid>
      <w:tr>
        <w:trPr>
          <w:tblHeader w:val="true"/>
        </w:trPr>
        <w:tc>
          <w:tcPr>
            <w:tcW w:type="dxa" w:w="2100"/>
            <w:shd w:fill="F2F4F7"/>
            <w:vAlign w:val="center"/>
            <w:tcMar>
              <w:top w:w="80" w:type="dxa"/>
              <w:start w:w="120" w:type="dxa"/>
              <w:bottom w:w="80" w:type="dxa"/>
              <w:end w:w="120" w:type="dxa"/>
            </w:tcMar>
          </w:tcPr>
          <w:p>
            <w:pPr>
              <w:spacing w:after="0"/>
            </w:pPr>
            <w:r>
              <w:rPr>
                <w:rFonts w:ascii="Calibri" w:hAnsi="Calibri"/>
                <w:b/>
                <w:color w:val="163A5A"/>
                <w:sz w:val="18"/>
              </w:rPr>
              <w:t>Policy</w:t>
            </w:r>
          </w:p>
        </w:tc>
        <w:tc>
          <w:tcPr>
            <w:tcW w:type="dxa" w:w="7260"/>
            <w:shd w:fill="F2F4F7"/>
            <w:vAlign w:val="center"/>
            <w:tcMar>
              <w:top w:w="80" w:type="dxa"/>
              <w:start w:w="120" w:type="dxa"/>
              <w:bottom w:w="80" w:type="dxa"/>
              <w:end w:w="120" w:type="dxa"/>
            </w:tcMar>
          </w:tcPr>
          <w:p>
            <w:pPr>
              <w:spacing w:after="0"/>
            </w:pPr>
            <w:r>
              <w:rPr>
                <w:rFonts w:ascii="Calibri" w:hAnsi="Calibri"/>
                <w:b/>
                <w:color w:val="163A5A"/>
                <w:sz w:val="18"/>
              </w:rPr>
              <w:t>Requirement</w:t>
            </w:r>
          </w:p>
        </w:tc>
      </w:tr>
      <w:tr>
        <w:trPr>
          <w:cantSplit/>
        </w:trPr>
        <w:tc>
          <w:tcPr>
            <w:tcW w:type="dxa" w:w="2100"/>
            <w:vAlign w:val="top"/>
            <w:tcMar>
              <w:top w:w="80" w:type="dxa"/>
              <w:start w:w="120" w:type="dxa"/>
              <w:bottom w:w="80" w:type="dxa"/>
              <w:end w:w="120" w:type="dxa"/>
            </w:tcMar>
          </w:tcPr>
          <w:p>
            <w:pPr>
              <w:spacing w:after="0" w:line="252" w:lineRule="auto"/>
            </w:pPr>
            <w:r>
              <w:rPr>
                <w:rFonts w:ascii="Calibri" w:hAnsi="Calibri"/>
                <w:color w:val="000000"/>
                <w:sz w:val="18"/>
              </w:rPr>
              <w:t>Approved catalogue</w:t>
            </w:r>
          </w:p>
        </w:tc>
        <w:tc>
          <w:tcPr>
            <w:tcW w:type="dxa" w:w="7260"/>
            <w:vAlign w:val="top"/>
            <w:tcMar>
              <w:top w:w="80" w:type="dxa"/>
              <w:start w:w="120" w:type="dxa"/>
              <w:bottom w:w="80" w:type="dxa"/>
              <w:end w:w="120" w:type="dxa"/>
            </w:tcMar>
          </w:tcPr>
          <w:p>
            <w:pPr>
              <w:spacing w:after="0" w:line="252" w:lineRule="auto"/>
            </w:pPr>
            <w:r>
              <w:rPr>
                <w:rFonts w:ascii="Calibri" w:hAnsi="Calibri"/>
                <w:color w:val="000000"/>
                <w:sz w:val="18"/>
              </w:rPr>
              <w:t>Only LoRAs present in the internal registry may be attached or trained automatically.</w:t>
            </w:r>
          </w:p>
        </w:tc>
      </w:tr>
      <w:tr>
        <w:trPr>
          <w:cantSplit/>
        </w:trPr>
        <w:tc>
          <w:tcPr>
            <w:tcW w:type="dxa" w:w="2100"/>
            <w:vAlign w:val="top"/>
            <w:tcMar>
              <w:top w:w="80" w:type="dxa"/>
              <w:start w:w="120" w:type="dxa"/>
              <w:bottom w:w="80" w:type="dxa"/>
              <w:end w:w="120" w:type="dxa"/>
            </w:tcMar>
          </w:tcPr>
          <w:p>
            <w:pPr>
              <w:spacing w:after="0" w:line="252" w:lineRule="auto"/>
            </w:pPr>
            <w:r>
              <w:rPr>
                <w:rFonts w:ascii="Calibri" w:hAnsi="Calibri"/>
                <w:color w:val="000000"/>
                <w:sz w:val="18"/>
              </w:rPr>
              <w:t>Registry data</w:t>
            </w:r>
          </w:p>
        </w:tc>
        <w:tc>
          <w:tcPr>
            <w:tcW w:type="dxa" w:w="7260"/>
            <w:vAlign w:val="top"/>
            <w:tcMar>
              <w:top w:w="80" w:type="dxa"/>
              <w:start w:w="120" w:type="dxa"/>
              <w:bottom w:w="80" w:type="dxa"/>
              <w:end w:w="120" w:type="dxa"/>
            </w:tcMar>
          </w:tcPr>
          <w:p>
            <w:pPr>
              <w:spacing w:after="0" w:line="252" w:lineRule="auto"/>
            </w:pPr>
            <w:r>
              <w:rPr>
                <w:rFonts w:ascii="Calibri" w:hAnsi="Calibri"/>
                <w:color w:val="000000"/>
                <w:sz w:val="18"/>
              </w:rPr>
              <w:t>Base-model compatibility, type, trigger phrase, tested strength, licence, examples, workflow and known conflicts.</w:t>
            </w:r>
          </w:p>
        </w:tc>
      </w:tr>
      <w:tr>
        <w:trPr>
          <w:cantSplit/>
        </w:trPr>
        <w:tc>
          <w:tcPr>
            <w:tcW w:type="dxa" w:w="2100"/>
            <w:vAlign w:val="top"/>
            <w:tcMar>
              <w:top w:w="80" w:type="dxa"/>
              <w:start w:w="120" w:type="dxa"/>
              <w:bottom w:w="80" w:type="dxa"/>
              <w:end w:w="120" w:type="dxa"/>
            </w:tcMar>
          </w:tcPr>
          <w:p>
            <w:pPr>
              <w:spacing w:after="0" w:line="252" w:lineRule="auto"/>
            </w:pPr>
            <w:r>
              <w:rPr>
                <w:rFonts w:ascii="Calibri" w:hAnsi="Calibri"/>
                <w:color w:val="000000"/>
                <w:sz w:val="18"/>
              </w:rPr>
              <w:t>When to use</w:t>
            </w:r>
          </w:p>
        </w:tc>
        <w:tc>
          <w:tcPr>
            <w:tcW w:type="dxa" w:w="7260"/>
            <w:vAlign w:val="top"/>
            <w:tcMar>
              <w:top w:w="80" w:type="dxa"/>
              <w:start w:w="120" w:type="dxa"/>
              <w:bottom w:w="80" w:type="dxa"/>
              <w:end w:w="120" w:type="dxa"/>
            </w:tcMar>
          </w:tcPr>
          <w:p>
            <w:pPr>
              <w:spacing w:after="0" w:line="252" w:lineRule="auto"/>
            </w:pPr>
            <w:r>
              <w:rPr>
                <w:rFonts w:ascii="Calibri" w:hAnsi="Calibri"/>
                <w:color w:val="000000"/>
                <w:sz w:val="18"/>
              </w:rPr>
              <w:t>Recurring major identity or approved recurring visual style after reference-only attempts are insufficient.</w:t>
            </w:r>
          </w:p>
        </w:tc>
      </w:tr>
      <w:tr>
        <w:trPr>
          <w:cantSplit/>
        </w:trPr>
        <w:tc>
          <w:tcPr>
            <w:tcW w:type="dxa" w:w="2100"/>
            <w:vAlign w:val="top"/>
            <w:tcMar>
              <w:top w:w="80" w:type="dxa"/>
              <w:start w:w="120" w:type="dxa"/>
              <w:bottom w:w="80" w:type="dxa"/>
              <w:end w:w="120" w:type="dxa"/>
            </w:tcMar>
          </w:tcPr>
          <w:p>
            <w:pPr>
              <w:spacing w:after="0" w:line="252" w:lineRule="auto"/>
            </w:pPr>
            <w:r>
              <w:rPr>
                <w:rFonts w:ascii="Calibri" w:hAnsi="Calibri"/>
                <w:color w:val="000000"/>
                <w:sz w:val="18"/>
              </w:rPr>
              <w:t>When not to use</w:t>
            </w:r>
          </w:p>
        </w:tc>
        <w:tc>
          <w:tcPr>
            <w:tcW w:type="dxa" w:w="7260"/>
            <w:vAlign w:val="top"/>
            <w:tcMar>
              <w:top w:w="80" w:type="dxa"/>
              <w:start w:w="120" w:type="dxa"/>
              <w:bottom w:w="80" w:type="dxa"/>
              <w:end w:w="120" w:type="dxa"/>
            </w:tcMar>
          </w:tcPr>
          <w:p>
            <w:pPr>
              <w:spacing w:after="0" w:line="252" w:lineRule="auto"/>
            </w:pPr>
            <w:r>
              <w:rPr>
                <w:rFonts w:ascii="Calibri" w:hAnsi="Calibri"/>
                <w:color w:val="000000"/>
                <w:sz w:val="18"/>
              </w:rPr>
              <w:t>One-off backgrounds, camera movement that the model supports natively, or identity already stable with references.</w:t>
            </w:r>
          </w:p>
        </w:tc>
      </w:tr>
      <w:tr>
        <w:trPr>
          <w:cantSplit/>
        </w:trPr>
        <w:tc>
          <w:tcPr>
            <w:tcW w:type="dxa" w:w="2100"/>
            <w:vAlign w:val="top"/>
            <w:tcMar>
              <w:top w:w="80" w:type="dxa"/>
              <w:start w:w="120" w:type="dxa"/>
              <w:bottom w:w="80" w:type="dxa"/>
              <w:end w:w="120" w:type="dxa"/>
            </w:tcMar>
          </w:tcPr>
          <w:p>
            <w:pPr>
              <w:spacing w:after="0" w:line="252" w:lineRule="auto"/>
            </w:pPr>
            <w:r>
              <w:rPr>
                <w:rFonts w:ascii="Calibri" w:hAnsi="Calibri"/>
                <w:color w:val="000000"/>
                <w:sz w:val="18"/>
              </w:rPr>
              <w:t>Training gate</w:t>
            </w:r>
          </w:p>
        </w:tc>
        <w:tc>
          <w:tcPr>
            <w:tcW w:type="dxa" w:w="7260"/>
            <w:vAlign w:val="top"/>
            <w:tcMar>
              <w:top w:w="80" w:type="dxa"/>
              <w:start w:w="120" w:type="dxa"/>
              <w:bottom w:w="80" w:type="dxa"/>
              <w:end w:w="120" w:type="dxa"/>
            </w:tcMar>
          </w:tcPr>
          <w:p>
            <w:pPr>
              <w:spacing w:after="0" w:line="252" w:lineRule="auto"/>
            </w:pPr>
            <w:r>
              <w:rPr>
                <w:rFonts w:ascii="Calibri" w:hAnsi="Calibri"/>
                <w:color w:val="000000"/>
                <w:sz w:val="18"/>
              </w:rPr>
              <w:t>Requires adequate dataset, consent/licence record, expected reuse and approved budget.</w:t>
            </w:r>
          </w:p>
        </w:tc>
      </w:tr>
      <w:tr>
        <w:trPr>
          <w:cantSplit/>
        </w:trPr>
        <w:tc>
          <w:tcPr>
            <w:tcW w:type="dxa" w:w="2100"/>
            <w:vAlign w:val="top"/>
            <w:tcMar>
              <w:top w:w="80" w:type="dxa"/>
              <w:start w:w="120" w:type="dxa"/>
              <w:bottom w:w="80" w:type="dxa"/>
              <w:end w:w="120" w:type="dxa"/>
            </w:tcMar>
          </w:tcPr>
          <w:p>
            <w:pPr>
              <w:spacing w:after="0" w:line="252" w:lineRule="auto"/>
            </w:pPr>
            <w:r>
              <w:rPr>
                <w:rFonts w:ascii="Calibri" w:hAnsi="Calibri"/>
                <w:color w:val="000000"/>
                <w:sz w:val="18"/>
              </w:rPr>
              <w:t>Failure control</w:t>
            </w:r>
          </w:p>
        </w:tc>
        <w:tc>
          <w:tcPr>
            <w:tcW w:type="dxa" w:w="7260"/>
            <w:vAlign w:val="top"/>
            <w:tcMar>
              <w:top w:w="80" w:type="dxa"/>
              <w:start w:w="120" w:type="dxa"/>
              <w:bottom w:w="80" w:type="dxa"/>
              <w:end w:w="120" w:type="dxa"/>
            </w:tcMar>
          </w:tcPr>
          <w:p>
            <w:pPr>
              <w:spacing w:after="0" w:line="252" w:lineRule="auto"/>
            </w:pPr>
            <w:r>
              <w:rPr>
                <w:rFonts w:ascii="Calibri" w:hAnsi="Calibri"/>
                <w:color w:val="000000"/>
                <w:sz w:val="18"/>
              </w:rPr>
              <w:t>A LoRA that repeatedly reduces acceptance is disabled for the relevant model/profile pending review.</w:t>
            </w:r>
          </w:p>
        </w:tc>
      </w:tr>
    </w:tbl>
    <w:p>
      <w:pPr>
        <w:spacing w:after="0"/>
      </w:pPr>
    </w:p>
    <w:p>
      <w:pPr>
        <w:pStyle w:val="Heading1"/>
      </w:pPr>
      <w:r>
        <w:t>9. Core data model</w:t>
      </w:r>
    </w:p>
    <w:tbl>
      <w:tblPr>
        <w:tblStyle w:val="TableGrid"/>
        <w:tblW w:type="dxa" w:w="9360"/>
        <w:jc w:val="left"/>
        <w:tblLayout w:type="fixed"/>
        <w:tblLook w:firstColumn="1" w:firstRow="1" w:lastColumn="0" w:lastRow="0" w:noHBand="0" w:noVBand="1" w:val="04A0"/>
        <w:tblInd w:w="120" w:type="dxa"/>
      </w:tblPr>
      <w:tblGrid>
        <w:gridCol w:w="2200"/>
        <w:gridCol w:w="7160"/>
      </w:tblGrid>
      <w:tr>
        <w:trPr>
          <w:tblHeader w:val="true"/>
        </w:trPr>
        <w:tc>
          <w:tcPr>
            <w:tcW w:type="dxa" w:w="2200"/>
            <w:shd w:fill="F2F4F7"/>
            <w:vAlign w:val="center"/>
            <w:tcMar>
              <w:top w:w="80" w:type="dxa"/>
              <w:start w:w="120" w:type="dxa"/>
              <w:bottom w:w="80" w:type="dxa"/>
              <w:end w:w="120" w:type="dxa"/>
            </w:tcMar>
          </w:tcPr>
          <w:p>
            <w:pPr>
              <w:spacing w:after="0"/>
            </w:pPr>
            <w:r>
              <w:rPr>
                <w:rFonts w:ascii="Calibri" w:hAnsi="Calibri"/>
                <w:b/>
                <w:color w:val="163A5A"/>
                <w:sz w:val="18"/>
              </w:rPr>
              <w:t>Entity</w:t>
            </w:r>
          </w:p>
        </w:tc>
        <w:tc>
          <w:tcPr>
            <w:tcW w:type="dxa" w:w="7160"/>
            <w:shd w:fill="F2F4F7"/>
            <w:vAlign w:val="center"/>
            <w:tcMar>
              <w:top w:w="80" w:type="dxa"/>
              <w:start w:w="120" w:type="dxa"/>
              <w:bottom w:w="80" w:type="dxa"/>
              <w:end w:w="120" w:type="dxa"/>
            </w:tcMar>
          </w:tcPr>
          <w:p>
            <w:pPr>
              <w:spacing w:after="0"/>
            </w:pPr>
            <w:r>
              <w:rPr>
                <w:rFonts w:ascii="Calibri" w:hAnsi="Calibri"/>
                <w:b/>
                <w:color w:val="163A5A"/>
                <w:sz w:val="18"/>
              </w:rPr>
              <w:t>Key contents</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Project</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Brief, target, language, aspect ratio, budget, quality mode, state and users.</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SourceAsset</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Type, duration, checksum, metadata, object location, rights status and analysis status.</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Analysis</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Evidence bundle, transcript, shots, summary, style, pacing, confidence and source references.</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StoryVersion</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Concept, logline, synopsis, beats, scenes, validation and locks.</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BibleEntity</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Character/environment/prop/style definition, references, voice and approved version.</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DialogueVersion</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Speakers, objectives, knowledge, subtext, lines, timing, scores and approval.</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Scene / Shot</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Order, duration, intent, continuity state, action, camera, dialogue, audio and generation plan.</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GenerationJob</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Capability, provider, model, payload hash, status, attempt, cost and external job ID.</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AssetVersion</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Parent, prompt, parameters, seed, references, media metadata, cost and approval status.</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ReviewResult</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Rubric scores, evidence, issue type, confidence, decision and repair instruction.</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TimelineVersion</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Ordered approved assets, audio layers, overlays, transitions, render status and export manifest.</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Model / LoRA profile</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Capabilities, compatibility, policy, costs, history, licence and active status.</w:t>
            </w:r>
          </w:p>
        </w:tc>
      </w:tr>
    </w:tbl>
    <w:p>
      <w:pPr>
        <w:spacing w:after="0"/>
      </w:pPr>
    </w:p>
    <w:p>
      <w:pPr>
        <w:pStyle w:val="Heading2"/>
      </w:pPr>
      <w:r>
        <w:t>9.1 State model</w:t>
      </w:r>
    </w:p>
    <w:p>
      <w:r>
        <w:t>At each level, state transitions must be explicit and auditable. Recommended common states are Draft, Ready, Generating, Review Required, Approved, Failed and Superseded. Locked objects may be superseded only by creating a new version; they are never mutated in place.</w:t>
      </w:r>
    </w:p>
    <w:p>
      <w:pPr>
        <w:pStyle w:val="Heading1"/>
      </w:pPr>
      <w:r>
        <w:t>10. APIs and job behaviour</w:t>
      </w:r>
    </w:p>
    <w:p>
      <w:pPr>
        <w:pStyle w:val="Heading2"/>
      </w:pPr>
      <w:r>
        <w:t>10.1 Provider-neutral internal contracts</w:t>
      </w:r>
    </w:p>
    <w:tbl>
      <w:tblPr>
        <w:tblStyle w:val="TableGrid"/>
        <w:tblW w:type="dxa" w:w="9360"/>
        <w:jc w:val="left"/>
        <w:tblLayout w:type="fixed"/>
        <w:tblLook w:firstColumn="1" w:firstRow="1" w:lastColumn="0" w:lastRow="0" w:noHBand="0" w:noVBand="1" w:val="04A0"/>
        <w:tblInd w:w="120" w:type="dxa"/>
      </w:tblPr>
      <w:tblGrid>
        <w:gridCol w:w="2600"/>
        <w:gridCol w:w="6760"/>
      </w:tblGrid>
      <w:tr>
        <w:trPr>
          <w:tblHeader w:val="true"/>
        </w:trPr>
        <w:tc>
          <w:tcPr>
            <w:tcW w:type="dxa" w:w="2600"/>
            <w:shd w:fill="F2F4F7"/>
            <w:vAlign w:val="center"/>
            <w:tcMar>
              <w:top w:w="80" w:type="dxa"/>
              <w:start w:w="120" w:type="dxa"/>
              <w:bottom w:w="80" w:type="dxa"/>
              <w:end w:w="120" w:type="dxa"/>
            </w:tcMar>
          </w:tcPr>
          <w:p>
            <w:pPr>
              <w:spacing w:after="0"/>
            </w:pPr>
            <w:r>
              <w:rPr>
                <w:rFonts w:ascii="Calibri" w:hAnsi="Calibri"/>
                <w:b/>
                <w:color w:val="163A5A"/>
                <w:sz w:val="18"/>
              </w:rPr>
              <w:t>Contract</w:t>
            </w:r>
          </w:p>
        </w:tc>
        <w:tc>
          <w:tcPr>
            <w:tcW w:type="dxa" w:w="6760"/>
            <w:shd w:fill="F2F4F7"/>
            <w:vAlign w:val="center"/>
            <w:tcMar>
              <w:top w:w="80" w:type="dxa"/>
              <w:start w:w="120" w:type="dxa"/>
              <w:bottom w:w="80" w:type="dxa"/>
              <w:end w:w="120" w:type="dxa"/>
            </w:tcMar>
          </w:tcPr>
          <w:p>
            <w:pPr>
              <w:spacing w:after="0"/>
            </w:pPr>
            <w:r>
              <w:rPr>
                <w:rFonts w:ascii="Calibri" w:hAnsi="Calibri"/>
                <w:b/>
                <w:color w:val="163A5A"/>
                <w:sz w:val="18"/>
              </w:rPr>
              <w:t>Minimum responsibility</w:t>
            </w:r>
          </w:p>
        </w:tc>
      </w:tr>
      <w:tr>
        <w:trPr>
          <w:cantSplit/>
        </w:trPr>
        <w:tc>
          <w:tcPr>
            <w:tcW w:type="dxa" w:w="2600"/>
            <w:vAlign w:val="top"/>
            <w:tcMar>
              <w:top w:w="80" w:type="dxa"/>
              <w:start w:w="120" w:type="dxa"/>
              <w:bottom w:w="80" w:type="dxa"/>
              <w:end w:w="120" w:type="dxa"/>
            </w:tcMar>
          </w:tcPr>
          <w:p>
            <w:pPr>
              <w:spacing w:after="0" w:line="252" w:lineRule="auto"/>
            </w:pPr>
            <w:r>
              <w:rPr>
                <w:rFonts w:ascii="Calibri" w:hAnsi="Calibri"/>
                <w:color w:val="000000"/>
                <w:sz w:val="18"/>
              </w:rPr>
              <w:t>analyzeEvidence</w:t>
            </w:r>
          </w:p>
        </w:tc>
        <w:tc>
          <w:tcPr>
            <w:tcW w:type="dxa" w:w="6760"/>
            <w:vAlign w:val="top"/>
            <w:tcMar>
              <w:top w:w="80" w:type="dxa"/>
              <w:start w:w="120" w:type="dxa"/>
              <w:bottom w:w="80" w:type="dxa"/>
              <w:end w:w="120" w:type="dxa"/>
            </w:tcMar>
          </w:tcPr>
          <w:p>
            <w:pPr>
              <w:spacing w:after="0" w:line="252" w:lineRule="auto"/>
            </w:pPr>
            <w:r>
              <w:rPr>
                <w:rFonts w:ascii="Calibri" w:hAnsi="Calibri"/>
                <w:color w:val="000000"/>
                <w:sz w:val="18"/>
              </w:rPr>
              <w:t>Analyse transcript, frames and metadata into a typed reference analysis.</w:t>
            </w:r>
          </w:p>
        </w:tc>
      </w:tr>
      <w:tr>
        <w:trPr>
          <w:cantSplit/>
        </w:trPr>
        <w:tc>
          <w:tcPr>
            <w:tcW w:type="dxa" w:w="2600"/>
            <w:vAlign w:val="top"/>
            <w:tcMar>
              <w:top w:w="80" w:type="dxa"/>
              <w:start w:w="120" w:type="dxa"/>
              <w:bottom w:w="80" w:type="dxa"/>
              <w:end w:w="120" w:type="dxa"/>
            </w:tcMar>
          </w:tcPr>
          <w:p>
            <w:pPr>
              <w:spacing w:after="0" w:line="252" w:lineRule="auto"/>
            </w:pPr>
            <w:r>
              <w:rPr>
                <w:rFonts w:ascii="Calibri" w:hAnsi="Calibri"/>
                <w:color w:val="000000"/>
                <w:sz w:val="18"/>
              </w:rPr>
              <w:t>generateStructuredText</w:t>
            </w:r>
          </w:p>
        </w:tc>
        <w:tc>
          <w:tcPr>
            <w:tcW w:type="dxa" w:w="6760"/>
            <w:vAlign w:val="top"/>
            <w:tcMar>
              <w:top w:w="80" w:type="dxa"/>
              <w:start w:w="120" w:type="dxa"/>
              <w:bottom w:w="80" w:type="dxa"/>
              <w:end w:w="120" w:type="dxa"/>
            </w:tcMar>
          </w:tcPr>
          <w:p>
            <w:pPr>
              <w:spacing w:after="0" w:line="252" w:lineRule="auto"/>
            </w:pPr>
            <w:r>
              <w:rPr>
                <w:rFonts w:ascii="Calibri" w:hAnsi="Calibri"/>
                <w:color w:val="000000"/>
                <w:sz w:val="18"/>
              </w:rPr>
              <w:t>Return schema-conformant concept, story, dialogue, shot or review objects.</w:t>
            </w:r>
          </w:p>
        </w:tc>
      </w:tr>
      <w:tr>
        <w:trPr>
          <w:cantSplit/>
        </w:trPr>
        <w:tc>
          <w:tcPr>
            <w:tcW w:type="dxa" w:w="2600"/>
            <w:vAlign w:val="top"/>
            <w:tcMar>
              <w:top w:w="80" w:type="dxa"/>
              <w:start w:w="120" w:type="dxa"/>
              <w:bottom w:w="80" w:type="dxa"/>
              <w:end w:w="120" w:type="dxa"/>
            </w:tcMar>
          </w:tcPr>
          <w:p>
            <w:pPr>
              <w:spacing w:after="0" w:line="252" w:lineRule="auto"/>
            </w:pPr>
            <w:r>
              <w:rPr>
                <w:rFonts w:ascii="Calibri" w:hAnsi="Calibri"/>
                <w:color w:val="000000"/>
                <w:sz w:val="18"/>
              </w:rPr>
              <w:t>evaluateAsset</w:t>
            </w:r>
          </w:p>
        </w:tc>
        <w:tc>
          <w:tcPr>
            <w:tcW w:type="dxa" w:w="6760"/>
            <w:vAlign w:val="top"/>
            <w:tcMar>
              <w:top w:w="80" w:type="dxa"/>
              <w:start w:w="120" w:type="dxa"/>
              <w:bottom w:w="80" w:type="dxa"/>
              <w:end w:w="120" w:type="dxa"/>
            </w:tcMar>
          </w:tcPr>
          <w:p>
            <w:pPr>
              <w:spacing w:after="0" w:line="252" w:lineRule="auto"/>
            </w:pPr>
            <w:r>
              <w:rPr>
                <w:rFonts w:ascii="Calibri" w:hAnsi="Calibri"/>
                <w:color w:val="000000"/>
                <w:sz w:val="18"/>
              </w:rPr>
              <w:t>Score an image/clip/audio item against intended outcome and references.</w:t>
            </w:r>
          </w:p>
        </w:tc>
      </w:tr>
      <w:tr>
        <w:trPr>
          <w:cantSplit/>
        </w:trPr>
        <w:tc>
          <w:tcPr>
            <w:tcW w:type="dxa" w:w="2600"/>
            <w:vAlign w:val="top"/>
            <w:tcMar>
              <w:top w:w="80" w:type="dxa"/>
              <w:start w:w="120" w:type="dxa"/>
              <w:bottom w:w="80" w:type="dxa"/>
              <w:end w:w="120" w:type="dxa"/>
            </w:tcMar>
          </w:tcPr>
          <w:p>
            <w:pPr>
              <w:spacing w:after="0" w:line="252" w:lineRule="auto"/>
            </w:pPr>
            <w:r>
              <w:rPr>
                <w:rFonts w:ascii="Calibri" w:hAnsi="Calibri"/>
                <w:color w:val="000000"/>
                <w:sz w:val="18"/>
              </w:rPr>
              <w:t>planRepair</w:t>
            </w:r>
          </w:p>
        </w:tc>
        <w:tc>
          <w:tcPr>
            <w:tcW w:type="dxa" w:w="6760"/>
            <w:vAlign w:val="top"/>
            <w:tcMar>
              <w:top w:w="80" w:type="dxa"/>
              <w:start w:w="120" w:type="dxa"/>
              <w:bottom w:w="80" w:type="dxa"/>
              <w:end w:w="120" w:type="dxa"/>
            </w:tcMar>
          </w:tcPr>
          <w:p>
            <w:pPr>
              <w:spacing w:after="0" w:line="252" w:lineRule="auto"/>
            </w:pPr>
            <w:r>
              <w:rPr>
                <w:rFonts w:ascii="Calibri" w:hAnsi="Calibri"/>
                <w:color w:val="000000"/>
                <w:sz w:val="18"/>
              </w:rPr>
              <w:t>Return issue class, smallest repair scope, instructions and escalation policy.</w:t>
            </w:r>
          </w:p>
        </w:tc>
      </w:tr>
      <w:tr>
        <w:trPr>
          <w:cantSplit/>
        </w:trPr>
        <w:tc>
          <w:tcPr>
            <w:tcW w:type="dxa" w:w="2600"/>
            <w:vAlign w:val="top"/>
            <w:tcMar>
              <w:top w:w="80" w:type="dxa"/>
              <w:start w:w="120" w:type="dxa"/>
              <w:bottom w:w="80" w:type="dxa"/>
              <w:end w:w="120" w:type="dxa"/>
            </w:tcMar>
          </w:tcPr>
          <w:p>
            <w:pPr>
              <w:spacing w:after="0" w:line="252" w:lineRule="auto"/>
            </w:pPr>
            <w:r>
              <w:rPr>
                <w:rFonts w:ascii="Calibri" w:hAnsi="Calibri"/>
                <w:color w:val="000000"/>
                <w:sz w:val="18"/>
              </w:rPr>
              <w:t>generateImage / editImage</w:t>
            </w:r>
          </w:p>
        </w:tc>
        <w:tc>
          <w:tcPr>
            <w:tcW w:type="dxa" w:w="6760"/>
            <w:vAlign w:val="top"/>
            <w:tcMar>
              <w:top w:w="80" w:type="dxa"/>
              <w:start w:w="120" w:type="dxa"/>
              <w:bottom w:w="80" w:type="dxa"/>
              <w:end w:w="120" w:type="dxa"/>
            </w:tcMar>
          </w:tcPr>
          <w:p>
            <w:pPr>
              <w:spacing w:after="0" w:line="252" w:lineRule="auto"/>
            </w:pPr>
            <w:r>
              <w:rPr>
                <w:rFonts w:ascii="Calibri" w:hAnsi="Calibri"/>
                <w:color w:val="000000"/>
                <w:sz w:val="18"/>
              </w:rPr>
              <w:t>Create or modify image assets and normalize provider responses.</w:t>
            </w:r>
          </w:p>
        </w:tc>
      </w:tr>
      <w:tr>
        <w:trPr>
          <w:cantSplit/>
        </w:trPr>
        <w:tc>
          <w:tcPr>
            <w:tcW w:type="dxa" w:w="2600"/>
            <w:vAlign w:val="top"/>
            <w:tcMar>
              <w:top w:w="80" w:type="dxa"/>
              <w:start w:w="120" w:type="dxa"/>
              <w:bottom w:w="80" w:type="dxa"/>
              <w:end w:w="120" w:type="dxa"/>
            </w:tcMar>
          </w:tcPr>
          <w:p>
            <w:pPr>
              <w:spacing w:after="0" w:line="252" w:lineRule="auto"/>
            </w:pPr>
            <w:r>
              <w:rPr>
                <w:rFonts w:ascii="Calibri" w:hAnsi="Calibri"/>
                <w:color w:val="000000"/>
                <w:sz w:val="18"/>
              </w:rPr>
              <w:t>generateVideo / transformVideo</w:t>
            </w:r>
          </w:p>
        </w:tc>
        <w:tc>
          <w:tcPr>
            <w:tcW w:type="dxa" w:w="6760"/>
            <w:vAlign w:val="top"/>
            <w:tcMar>
              <w:top w:w="80" w:type="dxa"/>
              <w:start w:w="120" w:type="dxa"/>
              <w:bottom w:w="80" w:type="dxa"/>
              <w:end w:w="120" w:type="dxa"/>
            </w:tcMar>
          </w:tcPr>
          <w:p>
            <w:pPr>
              <w:spacing w:after="0" w:line="252" w:lineRule="auto"/>
            </w:pPr>
            <w:r>
              <w:rPr>
                <w:rFonts w:ascii="Calibri" w:hAnsi="Calibri"/>
                <w:color w:val="000000"/>
                <w:sz w:val="18"/>
              </w:rPr>
              <w:t>Create or modify clips and normalize queue/status/result handling.</w:t>
            </w:r>
          </w:p>
        </w:tc>
      </w:tr>
      <w:tr>
        <w:trPr>
          <w:cantSplit/>
        </w:trPr>
        <w:tc>
          <w:tcPr>
            <w:tcW w:type="dxa" w:w="2600"/>
            <w:vAlign w:val="top"/>
            <w:tcMar>
              <w:top w:w="80" w:type="dxa"/>
              <w:start w:w="120" w:type="dxa"/>
              <w:bottom w:w="80" w:type="dxa"/>
              <w:end w:w="120" w:type="dxa"/>
            </w:tcMar>
          </w:tcPr>
          <w:p>
            <w:pPr>
              <w:spacing w:after="0" w:line="252" w:lineRule="auto"/>
            </w:pPr>
            <w:r>
              <w:rPr>
                <w:rFonts w:ascii="Calibri" w:hAnsi="Calibri"/>
                <w:color w:val="000000"/>
                <w:sz w:val="18"/>
              </w:rPr>
              <w:t>generateSpeech / lipSync</w:t>
            </w:r>
          </w:p>
        </w:tc>
        <w:tc>
          <w:tcPr>
            <w:tcW w:type="dxa" w:w="6760"/>
            <w:vAlign w:val="top"/>
            <w:tcMar>
              <w:top w:w="80" w:type="dxa"/>
              <w:start w:w="120" w:type="dxa"/>
              <w:bottom w:w="80" w:type="dxa"/>
              <w:end w:w="120" w:type="dxa"/>
            </w:tcMar>
          </w:tcPr>
          <w:p>
            <w:pPr>
              <w:spacing w:after="0" w:line="252" w:lineRule="auto"/>
            </w:pPr>
            <w:r>
              <w:rPr>
                <w:rFonts w:ascii="Calibri" w:hAnsi="Calibri"/>
                <w:color w:val="000000"/>
                <w:sz w:val="18"/>
              </w:rPr>
              <w:t>Create or align speech while retaining sentence-level lineage.</w:t>
            </w:r>
          </w:p>
        </w:tc>
      </w:tr>
      <w:tr>
        <w:trPr>
          <w:cantSplit/>
        </w:trPr>
        <w:tc>
          <w:tcPr>
            <w:tcW w:type="dxa" w:w="2600"/>
            <w:vAlign w:val="top"/>
            <w:tcMar>
              <w:top w:w="80" w:type="dxa"/>
              <w:start w:w="120" w:type="dxa"/>
              <w:bottom w:w="80" w:type="dxa"/>
              <w:end w:w="120" w:type="dxa"/>
            </w:tcMar>
          </w:tcPr>
          <w:p>
            <w:pPr>
              <w:spacing w:after="0" w:line="252" w:lineRule="auto"/>
            </w:pPr>
            <w:r>
              <w:rPr>
                <w:rFonts w:ascii="Calibri" w:hAnsi="Calibri"/>
                <w:color w:val="000000"/>
                <w:sz w:val="18"/>
              </w:rPr>
              <w:t>trainLora / upscaleAsset</w:t>
            </w:r>
          </w:p>
        </w:tc>
        <w:tc>
          <w:tcPr>
            <w:tcW w:type="dxa" w:w="6760"/>
            <w:vAlign w:val="top"/>
            <w:tcMar>
              <w:top w:w="80" w:type="dxa"/>
              <w:start w:w="120" w:type="dxa"/>
              <w:bottom w:w="80" w:type="dxa"/>
              <w:end w:w="120" w:type="dxa"/>
            </w:tcMar>
          </w:tcPr>
          <w:p>
            <w:pPr>
              <w:spacing w:after="0" w:line="252" w:lineRule="auto"/>
            </w:pPr>
            <w:r>
              <w:rPr>
                <w:rFonts w:ascii="Calibri" w:hAnsi="Calibri"/>
                <w:color w:val="000000"/>
                <w:sz w:val="18"/>
              </w:rPr>
              <w:t>Run approved auxiliary media workflows with explicit cost gates.</w:t>
            </w:r>
          </w:p>
        </w:tc>
      </w:tr>
    </w:tbl>
    <w:p>
      <w:pPr>
        <w:spacing w:after="0"/>
      </w:pPr>
    </w:p>
    <w:p>
      <w:pPr>
        <w:pStyle w:val="Heading2"/>
      </w:pPr>
      <w:r>
        <w:t>10.2 Job reliability requirements</w:t>
      </w:r>
    </w:p>
    <w:p>
      <w:pPr>
        <w:pStyle w:val="ListBullet"/>
        <w:spacing w:after="80" w:line="264" w:lineRule="auto"/>
      </w:pPr>
      <w:r>
        <w:rPr>
          <w:rFonts w:ascii="Calibri" w:hAnsi="Calibri"/>
        </w:rPr>
        <w:t>Every submission receives an internal job ID and deterministic idempotency key.</w:t>
      </w:r>
    </w:p>
    <w:p>
      <w:pPr>
        <w:pStyle w:val="ListBullet"/>
        <w:spacing w:after="80" w:line="264" w:lineRule="auto"/>
      </w:pPr>
      <w:r>
        <w:rPr>
          <w:rFonts w:ascii="Calibri" w:hAnsi="Calibri"/>
        </w:rPr>
        <w:t>Callbacks and polling updates are deduplicated and cannot regress a terminal job state.</w:t>
      </w:r>
    </w:p>
    <w:p>
      <w:pPr>
        <w:pStyle w:val="ListBullet"/>
        <w:spacing w:after="80" w:line="264" w:lineRule="auto"/>
      </w:pPr>
      <w:r>
        <w:rPr>
          <w:rFonts w:ascii="Calibri" w:hAnsi="Calibri"/>
        </w:rPr>
        <w:t>Retry policy distinguishes transient network/provider errors from invalid inputs and creative rejection.</w:t>
      </w:r>
    </w:p>
    <w:p>
      <w:pPr>
        <w:pStyle w:val="ListBullet"/>
        <w:spacing w:after="80" w:line="264" w:lineRule="auto"/>
      </w:pPr>
      <w:r>
        <w:rPr>
          <w:rFonts w:ascii="Calibri" w:hAnsi="Calibri"/>
        </w:rPr>
        <w:t>User cancellation stops unsent work and marks in-flight provider work as cancellation-requested when direct cancellation is unavailable.</w:t>
      </w:r>
    </w:p>
    <w:p>
      <w:pPr>
        <w:pStyle w:val="ListBullet"/>
        <w:spacing w:after="80" w:line="264" w:lineRule="auto"/>
      </w:pPr>
      <w:r>
        <w:rPr>
          <w:rFonts w:ascii="Calibri" w:hAnsi="Calibri"/>
        </w:rPr>
        <w:t>Completed external results are copied to owned object storage before the job is considered durable.</w:t>
      </w:r>
    </w:p>
    <w:p>
      <w:pPr>
        <w:pStyle w:val="ListBullet"/>
        <w:spacing w:after="80" w:line="264" w:lineRule="auto"/>
      </w:pPr>
      <w:r>
        <w:rPr>
          <w:rFonts w:ascii="Calibri" w:hAnsi="Calibri"/>
        </w:rPr>
        <w:t>Projects resume from the last completed checkpoint after worker or application restart.</w:t>
      </w:r>
    </w:p>
    <w:p>
      <w:pPr>
        <w:pStyle w:val="Heading1"/>
      </w:pPr>
      <w:r>
        <w:t>11. Cost and usage controls</w:t>
      </w:r>
    </w:p>
    <w:tbl>
      <w:tblPr>
        <w:tblStyle w:val="TableGrid"/>
        <w:tblW w:type="dxa" w:w="9360"/>
        <w:jc w:val="left"/>
        <w:tblLayout w:type="fixed"/>
        <w:tblLook w:firstColumn="1" w:firstRow="1" w:lastColumn="0" w:lastRow="0" w:noHBand="0" w:noVBand="1" w:val="04A0"/>
        <w:tblInd w:w="120" w:type="dxa"/>
      </w:tblPr>
      <w:tblGrid>
        <w:gridCol w:w="2200"/>
        <w:gridCol w:w="7160"/>
      </w:tblGrid>
      <w:tr>
        <w:trPr>
          <w:tblHeader w:val="true"/>
        </w:trPr>
        <w:tc>
          <w:tcPr>
            <w:tcW w:type="dxa" w:w="2200"/>
            <w:shd w:fill="F2F4F7"/>
            <w:vAlign w:val="center"/>
            <w:tcMar>
              <w:top w:w="80" w:type="dxa"/>
              <w:start w:w="120" w:type="dxa"/>
              <w:bottom w:w="80" w:type="dxa"/>
              <w:end w:w="120" w:type="dxa"/>
            </w:tcMar>
          </w:tcPr>
          <w:p>
            <w:pPr>
              <w:spacing w:after="0"/>
            </w:pPr>
            <w:r>
              <w:rPr>
                <w:rFonts w:ascii="Calibri" w:hAnsi="Calibri"/>
                <w:b/>
                <w:color w:val="163A5A"/>
                <w:sz w:val="18"/>
              </w:rPr>
              <w:t>Control</w:t>
            </w:r>
          </w:p>
        </w:tc>
        <w:tc>
          <w:tcPr>
            <w:tcW w:type="dxa" w:w="7160"/>
            <w:shd w:fill="F2F4F7"/>
            <w:vAlign w:val="center"/>
            <w:tcMar>
              <w:top w:w="80" w:type="dxa"/>
              <w:start w:w="120" w:type="dxa"/>
              <w:bottom w:w="80" w:type="dxa"/>
              <w:end w:w="120" w:type="dxa"/>
            </w:tcMar>
          </w:tcPr>
          <w:p>
            <w:pPr>
              <w:spacing w:after="0"/>
            </w:pPr>
            <w:r>
              <w:rPr>
                <w:rFonts w:ascii="Calibri" w:hAnsi="Calibri"/>
                <w:b/>
                <w:color w:val="163A5A"/>
                <w:sz w:val="18"/>
              </w:rPr>
              <w:t>Requirement</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Estimate</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Show estimated range before batch generation and LoRA training.</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Project ceiling</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Block new paid jobs when projected spend exceeds the approved project ceiling.</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Per-stage ceiling</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Allow separate limits for analysis, writing, images, clips, audio, repair and final render.</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Repair budget</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Track repair spend separately and stop automatic retries at policy limit.</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Model switch</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Display estimated cost impact before a human switches to a higher-cost model.</w:t>
            </w:r>
          </w:p>
        </w:tc>
      </w:tr>
      <w:tr>
        <w:trPr>
          <w:cantSplit/>
        </w:trPr>
        <w:tc>
          <w:tcPr>
            <w:tcW w:type="dxa" w:w="2200"/>
            <w:vAlign w:val="top"/>
            <w:tcMar>
              <w:top w:w="80" w:type="dxa"/>
              <w:start w:w="120" w:type="dxa"/>
              <w:bottom w:w="80" w:type="dxa"/>
              <w:end w:w="120" w:type="dxa"/>
            </w:tcMar>
          </w:tcPr>
          <w:p>
            <w:pPr>
              <w:spacing w:after="0" w:line="252" w:lineRule="auto"/>
            </w:pPr>
            <w:r>
              <w:rPr>
                <w:rFonts w:ascii="Calibri" w:hAnsi="Calibri"/>
                <w:color w:val="000000"/>
                <w:sz w:val="18"/>
              </w:rPr>
              <w:t>Audit</w:t>
            </w:r>
          </w:p>
        </w:tc>
        <w:tc>
          <w:tcPr>
            <w:tcW w:type="dxa" w:w="7160"/>
            <w:vAlign w:val="top"/>
            <w:tcMar>
              <w:top w:w="80" w:type="dxa"/>
              <w:start w:w="120" w:type="dxa"/>
              <w:bottom w:w="80" w:type="dxa"/>
              <w:end w:w="120" w:type="dxa"/>
            </w:tcMar>
          </w:tcPr>
          <w:p>
            <w:pPr>
              <w:spacing w:after="0" w:line="252" w:lineRule="auto"/>
            </w:pPr>
            <w:r>
              <w:rPr>
                <w:rFonts w:ascii="Calibri" w:hAnsi="Calibri"/>
                <w:color w:val="000000"/>
                <w:sz w:val="18"/>
              </w:rPr>
              <w:t>Record estimate, actual provider charge where available, internal calculated cost and variance.</w:t>
            </w:r>
          </w:p>
        </w:tc>
      </w:tr>
    </w:tbl>
    <w:p>
      <w:pPr>
        <w:spacing w:after="0"/>
      </w:pPr>
    </w:p>
    <w:p>
      <w:pPr>
        <w:pStyle w:val="Heading1"/>
      </w:pPr>
      <w:r>
        <w:t>12. Security, privacy and rights</w:t>
      </w:r>
    </w:p>
    <w:p>
      <w:pPr>
        <w:pStyle w:val="ListBullet"/>
        <w:spacing w:after="80" w:line="264" w:lineRule="auto"/>
      </w:pPr>
      <w:r>
        <w:rPr>
          <w:rFonts w:ascii="Calibri" w:hAnsi="Calibri"/>
        </w:rPr>
        <w:t>Provider credentials are encrypted, kept outside project content and never exposed to the browser.</w:t>
      </w:r>
    </w:p>
    <w:p>
      <w:pPr>
        <w:pStyle w:val="ListBullet"/>
        <w:spacing w:after="80" w:line="264" w:lineRule="auto"/>
      </w:pPr>
      <w:r>
        <w:rPr>
          <w:rFonts w:ascii="Calibri" w:hAnsi="Calibri"/>
        </w:rPr>
        <w:t>Signed media URLs are short-lived and scoped to the relevant asset and operation.</w:t>
      </w:r>
    </w:p>
    <w:p>
      <w:pPr>
        <w:pStyle w:val="ListBullet"/>
        <w:spacing w:after="80" w:line="264" w:lineRule="auto"/>
      </w:pPr>
      <w:r>
        <w:rPr>
          <w:rFonts w:ascii="Calibri" w:hAnsi="Calibri"/>
        </w:rPr>
        <w:t>Uploads are scanned/validated before processing, and media parsers run with resource limits.</w:t>
      </w:r>
    </w:p>
    <w:p>
      <w:pPr>
        <w:pStyle w:val="ListBullet"/>
        <w:spacing w:after="80" w:line="264" w:lineRule="auto"/>
      </w:pPr>
      <w:r>
        <w:rPr>
          <w:rFonts w:ascii="Calibri" w:hAnsi="Calibri"/>
        </w:rPr>
        <w:t>Source and generated assets have explicit ownership/rights status; unverified rights block external publishing workflows added later.</w:t>
      </w:r>
    </w:p>
    <w:p>
      <w:pPr>
        <w:pStyle w:val="ListBullet"/>
        <w:spacing w:after="80" w:line="264" w:lineRule="auto"/>
      </w:pPr>
      <w:r>
        <w:rPr>
          <w:rFonts w:ascii="Calibri" w:hAnsi="Calibri"/>
        </w:rPr>
        <w:t>Prompts, logs and provider responses redact credentials and unnecessary personal data.</w:t>
      </w:r>
    </w:p>
    <w:p>
      <w:pPr>
        <w:pStyle w:val="ListBullet"/>
        <w:spacing w:after="80" w:line="264" w:lineRule="auto"/>
      </w:pPr>
      <w:r>
        <w:rPr>
          <w:rFonts w:ascii="Calibri" w:hAnsi="Calibri"/>
        </w:rPr>
        <w:t>Project access is enforced server-side for every asset, job, review and export operation.</w:t>
      </w:r>
    </w:p>
    <w:p>
      <w:pPr>
        <w:pStyle w:val="ListBullet"/>
        <w:spacing w:after="80" w:line="264" w:lineRule="auto"/>
      </w:pPr>
      <w:r>
        <w:rPr>
          <w:rFonts w:ascii="Calibri" w:hAnsi="Calibri"/>
        </w:rPr>
        <w:t>Retention and deletion policies remove provider-side temporary assets when supported while preserving the owned audit record required by policy.</w:t>
      </w:r>
    </w:p>
    <w:p>
      <w:pPr>
        <w:pStyle w:val="Heading1"/>
      </w:pPr>
      <w:r>
        <w:t>13. Non-functional requirements</w:t>
      </w:r>
    </w:p>
    <w:tbl>
      <w:tblPr>
        <w:tblStyle w:val="TableGrid"/>
        <w:tblW w:type="dxa" w:w="9360"/>
        <w:jc w:val="left"/>
        <w:tblLayout w:type="fixed"/>
        <w:tblLook w:firstColumn="1" w:firstRow="1" w:lastColumn="0" w:lastRow="0" w:noHBand="0" w:noVBand="1" w:val="04A0"/>
        <w:tblInd w:w="120" w:type="dxa"/>
      </w:tblPr>
      <w:tblGrid>
        <w:gridCol w:w="1900"/>
        <w:gridCol w:w="7460"/>
      </w:tblGrid>
      <w:tr>
        <w:trPr>
          <w:tblHeader w:val="true"/>
        </w:trPr>
        <w:tc>
          <w:tcPr>
            <w:tcW w:type="dxa" w:w="1900"/>
            <w:shd w:fill="F2F4F7"/>
            <w:vAlign w:val="center"/>
            <w:tcMar>
              <w:top w:w="80" w:type="dxa"/>
              <w:start w:w="120" w:type="dxa"/>
              <w:bottom w:w="80" w:type="dxa"/>
              <w:end w:w="120" w:type="dxa"/>
            </w:tcMar>
          </w:tcPr>
          <w:p>
            <w:pPr>
              <w:spacing w:after="0"/>
            </w:pPr>
            <w:r>
              <w:rPr>
                <w:rFonts w:ascii="Calibri" w:hAnsi="Calibri"/>
                <w:b/>
                <w:color w:val="163A5A"/>
                <w:sz w:val="18"/>
              </w:rPr>
              <w:t>Area</w:t>
            </w:r>
          </w:p>
        </w:tc>
        <w:tc>
          <w:tcPr>
            <w:tcW w:type="dxa" w:w="7460"/>
            <w:shd w:fill="F2F4F7"/>
            <w:vAlign w:val="center"/>
            <w:tcMar>
              <w:top w:w="80" w:type="dxa"/>
              <w:start w:w="120" w:type="dxa"/>
              <w:bottom w:w="80" w:type="dxa"/>
              <w:end w:w="120" w:type="dxa"/>
            </w:tcMar>
          </w:tcPr>
          <w:p>
            <w:pPr>
              <w:spacing w:after="0"/>
            </w:pPr>
            <w:r>
              <w:rPr>
                <w:rFonts w:ascii="Calibri" w:hAnsi="Calibri"/>
                <w:b/>
                <w:color w:val="163A5A"/>
                <w:sz w:val="18"/>
              </w:rPr>
              <w:t>Requirement</w:t>
            </w:r>
          </w:p>
        </w:tc>
      </w:tr>
      <w:tr>
        <w:trPr>
          <w:cantSplit/>
        </w:trPr>
        <w:tc>
          <w:tcPr>
            <w:tcW w:type="dxa" w:w="1900"/>
            <w:vAlign w:val="top"/>
            <w:tcMar>
              <w:top w:w="80" w:type="dxa"/>
              <w:start w:w="120" w:type="dxa"/>
              <w:bottom w:w="80" w:type="dxa"/>
              <w:end w:w="120" w:type="dxa"/>
            </w:tcMar>
          </w:tcPr>
          <w:p>
            <w:pPr>
              <w:spacing w:after="0" w:line="252" w:lineRule="auto"/>
            </w:pPr>
            <w:r>
              <w:rPr>
                <w:rFonts w:ascii="Calibri" w:hAnsi="Calibri"/>
                <w:color w:val="000000"/>
                <w:sz w:val="18"/>
              </w:rPr>
              <w:t>Availability</w:t>
            </w:r>
          </w:p>
        </w:tc>
        <w:tc>
          <w:tcPr>
            <w:tcW w:type="dxa" w:w="7460"/>
            <w:vAlign w:val="top"/>
            <w:tcMar>
              <w:top w:w="80" w:type="dxa"/>
              <w:start w:w="120" w:type="dxa"/>
              <w:bottom w:w="80" w:type="dxa"/>
              <w:end w:w="120" w:type="dxa"/>
            </w:tcMar>
          </w:tcPr>
          <w:p>
            <w:pPr>
              <w:spacing w:after="0" w:line="252" w:lineRule="auto"/>
            </w:pPr>
            <w:r>
              <w:rPr>
                <w:rFonts w:ascii="Calibri" w:hAnsi="Calibri"/>
                <w:color w:val="000000"/>
                <w:sz w:val="18"/>
              </w:rPr>
              <w:t>A provider outage degrades only affected capabilities; editing and review remain available.</w:t>
            </w:r>
          </w:p>
        </w:tc>
      </w:tr>
      <w:tr>
        <w:trPr>
          <w:cantSplit/>
        </w:trPr>
        <w:tc>
          <w:tcPr>
            <w:tcW w:type="dxa" w:w="1900"/>
            <w:vAlign w:val="top"/>
            <w:tcMar>
              <w:top w:w="80" w:type="dxa"/>
              <w:start w:w="120" w:type="dxa"/>
              <w:bottom w:w="80" w:type="dxa"/>
              <w:end w:w="120" w:type="dxa"/>
            </w:tcMar>
          </w:tcPr>
          <w:p>
            <w:pPr>
              <w:spacing w:after="0" w:line="252" w:lineRule="auto"/>
            </w:pPr>
            <w:r>
              <w:rPr>
                <w:rFonts w:ascii="Calibri" w:hAnsi="Calibri"/>
                <w:color w:val="000000"/>
                <w:sz w:val="18"/>
              </w:rPr>
              <w:t>Performance</w:t>
            </w:r>
          </w:p>
        </w:tc>
        <w:tc>
          <w:tcPr>
            <w:tcW w:type="dxa" w:w="7460"/>
            <w:vAlign w:val="top"/>
            <w:tcMar>
              <w:top w:w="80" w:type="dxa"/>
              <w:start w:w="120" w:type="dxa"/>
              <w:bottom w:w="80" w:type="dxa"/>
              <w:end w:w="120" w:type="dxa"/>
            </w:tcMar>
          </w:tcPr>
          <w:p>
            <w:pPr>
              <w:spacing w:after="0" w:line="252" w:lineRule="auto"/>
            </w:pPr>
            <w:r>
              <w:rPr>
                <w:rFonts w:ascii="Calibri" w:hAnsi="Calibri"/>
                <w:color w:val="000000"/>
                <w:sz w:val="18"/>
              </w:rPr>
              <w:t>UI actions that do not start AI/media work return promptly; long operations always run as jobs with progress.</w:t>
            </w:r>
          </w:p>
        </w:tc>
      </w:tr>
      <w:tr>
        <w:trPr>
          <w:cantSplit/>
        </w:trPr>
        <w:tc>
          <w:tcPr>
            <w:tcW w:type="dxa" w:w="1900"/>
            <w:vAlign w:val="top"/>
            <w:tcMar>
              <w:top w:w="80" w:type="dxa"/>
              <w:start w:w="120" w:type="dxa"/>
              <w:bottom w:w="80" w:type="dxa"/>
              <w:end w:w="120" w:type="dxa"/>
            </w:tcMar>
          </w:tcPr>
          <w:p>
            <w:pPr>
              <w:spacing w:after="0" w:line="252" w:lineRule="auto"/>
            </w:pPr>
            <w:r>
              <w:rPr>
                <w:rFonts w:ascii="Calibri" w:hAnsi="Calibri"/>
                <w:color w:val="000000"/>
                <w:sz w:val="18"/>
              </w:rPr>
              <w:t>Scalability</w:t>
            </w:r>
          </w:p>
        </w:tc>
        <w:tc>
          <w:tcPr>
            <w:tcW w:type="dxa" w:w="7460"/>
            <w:vAlign w:val="top"/>
            <w:tcMar>
              <w:top w:w="80" w:type="dxa"/>
              <w:start w:w="120" w:type="dxa"/>
              <w:bottom w:w="80" w:type="dxa"/>
              <w:end w:w="120" w:type="dxa"/>
            </w:tcMar>
          </w:tcPr>
          <w:p>
            <w:pPr>
              <w:spacing w:after="0" w:line="252" w:lineRule="auto"/>
            </w:pPr>
            <w:r>
              <w:rPr>
                <w:rFonts w:ascii="Calibri" w:hAnsi="Calibri"/>
                <w:color w:val="000000"/>
                <w:sz w:val="18"/>
              </w:rPr>
              <w:t>Workers scale independently by job class and support per-provider concurrency/rate limits.</w:t>
            </w:r>
          </w:p>
        </w:tc>
      </w:tr>
      <w:tr>
        <w:trPr>
          <w:cantSplit/>
        </w:trPr>
        <w:tc>
          <w:tcPr>
            <w:tcW w:type="dxa" w:w="1900"/>
            <w:vAlign w:val="top"/>
            <w:tcMar>
              <w:top w:w="80" w:type="dxa"/>
              <w:start w:w="120" w:type="dxa"/>
              <w:bottom w:w="80" w:type="dxa"/>
              <w:end w:w="120" w:type="dxa"/>
            </w:tcMar>
          </w:tcPr>
          <w:p>
            <w:pPr>
              <w:spacing w:after="0" w:line="252" w:lineRule="auto"/>
            </w:pPr>
            <w:r>
              <w:rPr>
                <w:rFonts w:ascii="Calibri" w:hAnsi="Calibri"/>
                <w:color w:val="000000"/>
                <w:sz w:val="18"/>
              </w:rPr>
              <w:t>Observability</w:t>
            </w:r>
          </w:p>
        </w:tc>
        <w:tc>
          <w:tcPr>
            <w:tcW w:type="dxa" w:w="7460"/>
            <w:vAlign w:val="top"/>
            <w:tcMar>
              <w:top w:w="80" w:type="dxa"/>
              <w:start w:w="120" w:type="dxa"/>
              <w:bottom w:w="80" w:type="dxa"/>
              <w:end w:w="120" w:type="dxa"/>
            </w:tcMar>
          </w:tcPr>
          <w:p>
            <w:pPr>
              <w:spacing w:after="0" w:line="252" w:lineRule="auto"/>
            </w:pPr>
            <w:r>
              <w:rPr>
                <w:rFonts w:ascii="Calibri" w:hAnsi="Calibri"/>
                <w:color w:val="000000"/>
                <w:sz w:val="18"/>
              </w:rPr>
              <w:t>Trace a user action through job, provider call, asset, review, repair and cost record.</w:t>
            </w:r>
          </w:p>
        </w:tc>
      </w:tr>
      <w:tr>
        <w:trPr>
          <w:cantSplit/>
        </w:trPr>
        <w:tc>
          <w:tcPr>
            <w:tcW w:type="dxa" w:w="1900"/>
            <w:vAlign w:val="top"/>
            <w:tcMar>
              <w:top w:w="80" w:type="dxa"/>
              <w:start w:w="120" w:type="dxa"/>
              <w:bottom w:w="80" w:type="dxa"/>
              <w:end w:w="120" w:type="dxa"/>
            </w:tcMar>
          </w:tcPr>
          <w:p>
            <w:pPr>
              <w:spacing w:after="0" w:line="252" w:lineRule="auto"/>
            </w:pPr>
            <w:r>
              <w:rPr>
                <w:rFonts w:ascii="Calibri" w:hAnsi="Calibri"/>
                <w:color w:val="000000"/>
                <w:sz w:val="18"/>
              </w:rPr>
              <w:t>Data integrity</w:t>
            </w:r>
          </w:p>
        </w:tc>
        <w:tc>
          <w:tcPr>
            <w:tcW w:type="dxa" w:w="7460"/>
            <w:vAlign w:val="top"/>
            <w:tcMar>
              <w:top w:w="80" w:type="dxa"/>
              <w:start w:w="120" w:type="dxa"/>
              <w:bottom w:w="80" w:type="dxa"/>
              <w:end w:w="120" w:type="dxa"/>
            </w:tcMar>
          </w:tcPr>
          <w:p>
            <w:pPr>
              <w:spacing w:after="0" w:line="252" w:lineRule="auto"/>
            </w:pPr>
            <w:r>
              <w:rPr>
                <w:rFonts w:ascii="Calibri" w:hAnsi="Calibri"/>
                <w:color w:val="000000"/>
                <w:sz w:val="18"/>
              </w:rPr>
              <w:t>Approved and locked versions are immutable; asset hashes and parent relationships are retained.</w:t>
            </w:r>
          </w:p>
        </w:tc>
      </w:tr>
      <w:tr>
        <w:trPr>
          <w:cantSplit/>
        </w:trPr>
        <w:tc>
          <w:tcPr>
            <w:tcW w:type="dxa" w:w="1900"/>
            <w:vAlign w:val="top"/>
            <w:tcMar>
              <w:top w:w="80" w:type="dxa"/>
              <w:start w:w="120" w:type="dxa"/>
              <w:bottom w:w="80" w:type="dxa"/>
              <w:end w:w="120" w:type="dxa"/>
            </w:tcMar>
          </w:tcPr>
          <w:p>
            <w:pPr>
              <w:spacing w:after="0" w:line="252" w:lineRule="auto"/>
            </w:pPr>
            <w:r>
              <w:rPr>
                <w:rFonts w:ascii="Calibri" w:hAnsi="Calibri"/>
                <w:color w:val="000000"/>
                <w:sz w:val="18"/>
              </w:rPr>
              <w:t>Accessibility</w:t>
            </w:r>
          </w:p>
        </w:tc>
        <w:tc>
          <w:tcPr>
            <w:tcW w:type="dxa" w:w="7460"/>
            <w:vAlign w:val="top"/>
            <w:tcMar>
              <w:top w:w="80" w:type="dxa"/>
              <w:start w:w="120" w:type="dxa"/>
              <w:bottom w:w="80" w:type="dxa"/>
              <w:end w:w="120" w:type="dxa"/>
            </w:tcMar>
          </w:tcPr>
          <w:p>
            <w:pPr>
              <w:spacing w:after="0" w:line="252" w:lineRule="auto"/>
            </w:pPr>
            <w:r>
              <w:rPr>
                <w:rFonts w:ascii="Calibri" w:hAnsi="Calibri"/>
                <w:color w:val="000000"/>
                <w:sz w:val="18"/>
              </w:rPr>
              <w:t>Keyboard-accessible review actions, labelled controls, visible focus and non-colour-only statuses.</w:t>
            </w:r>
          </w:p>
        </w:tc>
      </w:tr>
      <w:tr>
        <w:trPr>
          <w:cantSplit/>
        </w:trPr>
        <w:tc>
          <w:tcPr>
            <w:tcW w:type="dxa" w:w="1900"/>
            <w:vAlign w:val="top"/>
            <w:tcMar>
              <w:top w:w="80" w:type="dxa"/>
              <w:start w:w="120" w:type="dxa"/>
              <w:bottom w:w="80" w:type="dxa"/>
              <w:end w:w="120" w:type="dxa"/>
            </w:tcMar>
          </w:tcPr>
          <w:p>
            <w:pPr>
              <w:spacing w:after="0" w:line="252" w:lineRule="auto"/>
            </w:pPr>
            <w:r>
              <w:rPr>
                <w:rFonts w:ascii="Calibri" w:hAnsi="Calibri"/>
                <w:color w:val="000000"/>
                <w:sz w:val="18"/>
              </w:rPr>
              <w:t>Maintainability</w:t>
            </w:r>
          </w:p>
        </w:tc>
        <w:tc>
          <w:tcPr>
            <w:tcW w:type="dxa" w:w="7460"/>
            <w:vAlign w:val="top"/>
            <w:tcMar>
              <w:top w:w="80" w:type="dxa"/>
              <w:start w:w="120" w:type="dxa"/>
              <w:bottom w:w="80" w:type="dxa"/>
              <w:end w:w="120" w:type="dxa"/>
            </w:tcMar>
          </w:tcPr>
          <w:p>
            <w:pPr>
              <w:spacing w:after="0" w:line="252" w:lineRule="auto"/>
            </w:pPr>
            <w:r>
              <w:rPr>
                <w:rFonts w:ascii="Calibri" w:hAnsi="Calibri"/>
                <w:color w:val="000000"/>
                <w:sz w:val="18"/>
              </w:rPr>
              <w:t>Provider-specific fields remain in adapter payloads, not core project tables.</w:t>
            </w:r>
          </w:p>
        </w:tc>
      </w:tr>
      <w:tr>
        <w:trPr>
          <w:cantSplit/>
        </w:trPr>
        <w:tc>
          <w:tcPr>
            <w:tcW w:type="dxa" w:w="1900"/>
            <w:vAlign w:val="top"/>
            <w:tcMar>
              <w:top w:w="80" w:type="dxa"/>
              <w:start w:w="120" w:type="dxa"/>
              <w:bottom w:w="80" w:type="dxa"/>
              <w:end w:w="120" w:type="dxa"/>
            </w:tcMar>
          </w:tcPr>
          <w:p>
            <w:pPr>
              <w:spacing w:after="0" w:line="252" w:lineRule="auto"/>
            </w:pPr>
            <w:r>
              <w:rPr>
                <w:rFonts w:ascii="Calibri" w:hAnsi="Calibri"/>
                <w:color w:val="000000"/>
                <w:sz w:val="18"/>
              </w:rPr>
              <w:t>Testing</w:t>
            </w:r>
          </w:p>
        </w:tc>
        <w:tc>
          <w:tcPr>
            <w:tcW w:type="dxa" w:w="7460"/>
            <w:vAlign w:val="top"/>
            <w:tcMar>
              <w:top w:w="80" w:type="dxa"/>
              <w:start w:w="120" w:type="dxa"/>
              <w:bottom w:w="80" w:type="dxa"/>
              <w:end w:w="120" w:type="dxa"/>
            </w:tcMar>
          </w:tcPr>
          <w:p>
            <w:pPr>
              <w:spacing w:after="0" w:line="252" w:lineRule="auto"/>
            </w:pPr>
            <w:r>
              <w:rPr>
                <w:rFonts w:ascii="Calibri" w:hAnsi="Calibri"/>
                <w:color w:val="000000"/>
                <w:sz w:val="18"/>
              </w:rPr>
              <w:t>Use contract tests for adapters, fixture media for analysis, deterministic state tests and UI journey tests by role.</w:t>
            </w:r>
          </w:p>
        </w:tc>
      </w:tr>
    </w:tbl>
    <w:p>
      <w:pPr>
        <w:spacing w:after="0"/>
      </w:pPr>
    </w:p>
    <w:p>
      <w:pPr>
        <w:pStyle w:val="Heading1"/>
      </w:pPr>
      <w:r>
        <w:t>14. Acceptance criteria</w:t>
      </w:r>
    </w:p>
    <w:p>
      <w:pPr>
        <w:pStyle w:val="ListBullet"/>
        <w:spacing w:after="80" w:line="264" w:lineRule="auto"/>
      </w:pPr>
      <w:r>
        <w:rPr>
          <w:rFonts w:ascii="Calibri" w:hAnsi="Calibri"/>
        </w:rPr>
        <w:t>An idea-only project can reach an approved shot plan without any inspiration video.</w:t>
      </w:r>
    </w:p>
    <w:p>
      <w:pPr>
        <w:pStyle w:val="ListBullet"/>
        <w:spacing w:after="80" w:line="264" w:lineRule="auto"/>
      </w:pPr>
      <w:r>
        <w:rPr>
          <w:rFonts w:ascii="Calibri" w:hAnsi="Calibri"/>
        </w:rPr>
        <w:t>A 4:59.999 video is accepted if otherwise valid; a 5:00.000 video is rejected before analysis with a clear message.</w:t>
      </w:r>
    </w:p>
    <w:p>
      <w:pPr>
        <w:pStyle w:val="ListBullet"/>
        <w:spacing w:after="80" w:line="264" w:lineRule="auto"/>
      </w:pPr>
      <w:r>
        <w:rPr>
          <w:rFonts w:ascii="Calibri" w:hAnsi="Calibri"/>
        </w:rPr>
        <w:t>An accepted video produces metadata, shot boundaries, representative frames, transcript/no-speech result and structured reference analysis.</w:t>
      </w:r>
    </w:p>
    <w:p>
      <w:pPr>
        <w:pStyle w:val="ListBullet"/>
        <w:spacing w:after="80" w:line="264" w:lineRule="auto"/>
      </w:pPr>
      <w:r>
        <w:rPr>
          <w:rFonts w:ascii="Calibri" w:hAnsi="Calibri"/>
        </w:rPr>
        <w:t>The system can create and lock a story, bible and dialogue version; later agents cannot overwrite locked fields silently.</w:t>
      </w:r>
    </w:p>
    <w:p>
      <w:pPr>
        <w:pStyle w:val="ListBullet"/>
        <w:spacing w:after="80" w:line="264" w:lineRule="auto"/>
      </w:pPr>
      <w:r>
        <w:rPr>
          <w:rFonts w:ascii="Calibri" w:hAnsi="Calibri"/>
        </w:rPr>
        <w:t>Dialogue criticism identifies at least the failed lines and rewrites only those lines while retaining character knowledge and scene intent.</w:t>
      </w:r>
    </w:p>
    <w:p>
      <w:pPr>
        <w:pStyle w:val="ListBullet"/>
        <w:spacing w:after="80" w:line="264" w:lineRule="auto"/>
      </w:pPr>
      <w:r>
        <w:rPr>
          <w:rFonts w:ascii="Calibri" w:hAnsi="Calibri"/>
        </w:rPr>
        <w:t>A shot can be generated through FAL, reviewed, rejected, repaired and regenerated without affecting approved neighbouring shots.</w:t>
      </w:r>
    </w:p>
    <w:p>
      <w:pPr>
        <w:pStyle w:val="ListBullet"/>
        <w:spacing w:after="80" w:line="264" w:lineRule="auto"/>
      </w:pPr>
      <w:r>
        <w:rPr>
          <w:rFonts w:ascii="Calibri" w:hAnsi="Calibri"/>
        </w:rPr>
        <w:t>Model and LoRA selection is restricted to active compatible registry entries and records the selection reason.</w:t>
      </w:r>
    </w:p>
    <w:p>
      <w:pPr>
        <w:pStyle w:val="ListBullet"/>
        <w:spacing w:after="80" w:line="264" w:lineRule="auto"/>
      </w:pPr>
      <w:r>
        <w:rPr>
          <w:rFonts w:ascii="Calibri" w:hAnsi="Calibri"/>
        </w:rPr>
        <w:t>A provider timeout or duplicate callback does not create duplicate assets or invalid state transitions.</w:t>
      </w:r>
    </w:p>
    <w:p>
      <w:pPr>
        <w:pStyle w:val="ListBullet"/>
        <w:spacing w:after="80" w:line="264" w:lineRule="auto"/>
      </w:pPr>
      <w:r>
        <w:rPr>
          <w:rFonts w:ascii="Calibri" w:hAnsi="Calibri"/>
        </w:rPr>
        <w:t>Final assembly blocks missing/unapproved mandatory shots and exports only after technical checks pass or an authorized override is recorded.</w:t>
      </w:r>
    </w:p>
    <w:p>
      <w:pPr>
        <w:pStyle w:val="ListBullet"/>
        <w:spacing w:after="80" w:line="264" w:lineRule="auto"/>
      </w:pPr>
      <w:r>
        <w:rPr>
          <w:rFonts w:ascii="Calibri" w:hAnsi="Calibri"/>
        </w:rPr>
        <w:t>The exported manifest links every final segment to its approved asset, generation job, model, cost and review decision.</w:t>
      </w:r>
    </w:p>
    <w:p>
      <w:pPr>
        <w:pStyle w:val="Heading1"/>
      </w:pPr>
      <w:r>
        <w:t>15. Delivery sequence</w:t>
      </w:r>
    </w:p>
    <w:tbl>
      <w:tblPr>
        <w:tblStyle w:val="TableGrid"/>
        <w:tblW w:type="dxa" w:w="9360"/>
        <w:jc w:val="left"/>
        <w:tblLayout w:type="fixed"/>
        <w:tblLook w:firstColumn="1" w:firstRow="1" w:lastColumn="0" w:lastRow="0" w:noHBand="0" w:noVBand="1" w:val="04A0"/>
        <w:tblInd w:w="120" w:type="dxa"/>
      </w:tblPr>
      <w:tblGrid>
        <w:gridCol w:w="1500"/>
        <w:gridCol w:w="4110"/>
        <w:gridCol w:w="3750"/>
      </w:tblGrid>
      <w:tr>
        <w:trPr>
          <w:tblHeader w:val="true"/>
        </w:trPr>
        <w:tc>
          <w:tcPr>
            <w:tcW w:type="dxa" w:w="1500"/>
            <w:shd w:fill="F2F4F7"/>
            <w:vAlign w:val="center"/>
            <w:tcMar>
              <w:top w:w="80" w:type="dxa"/>
              <w:start w:w="120" w:type="dxa"/>
              <w:bottom w:w="80" w:type="dxa"/>
              <w:end w:w="120" w:type="dxa"/>
            </w:tcMar>
          </w:tcPr>
          <w:p>
            <w:pPr>
              <w:spacing w:after="0"/>
            </w:pPr>
            <w:r>
              <w:rPr>
                <w:rFonts w:ascii="Calibri" w:hAnsi="Calibri"/>
                <w:b/>
                <w:color w:val="163A5A"/>
                <w:sz w:val="18"/>
              </w:rPr>
              <w:t>Phase</w:t>
            </w:r>
          </w:p>
        </w:tc>
        <w:tc>
          <w:tcPr>
            <w:tcW w:type="dxa" w:w="4110"/>
            <w:shd w:fill="F2F4F7"/>
            <w:vAlign w:val="center"/>
            <w:tcMar>
              <w:top w:w="80" w:type="dxa"/>
              <w:start w:w="120" w:type="dxa"/>
              <w:bottom w:w="80" w:type="dxa"/>
              <w:end w:w="120" w:type="dxa"/>
            </w:tcMar>
          </w:tcPr>
          <w:p>
            <w:pPr>
              <w:spacing w:after="0"/>
            </w:pPr>
            <w:r>
              <w:rPr>
                <w:rFonts w:ascii="Calibri" w:hAnsi="Calibri"/>
                <w:b/>
                <w:color w:val="163A5A"/>
                <w:sz w:val="18"/>
              </w:rPr>
              <w:t>Deliverable</w:t>
            </w:r>
          </w:p>
        </w:tc>
        <w:tc>
          <w:tcPr>
            <w:tcW w:type="dxa" w:w="3750"/>
            <w:shd w:fill="F2F4F7"/>
            <w:vAlign w:val="center"/>
            <w:tcMar>
              <w:top w:w="80" w:type="dxa"/>
              <w:start w:w="120" w:type="dxa"/>
              <w:bottom w:w="80" w:type="dxa"/>
              <w:end w:w="120" w:type="dxa"/>
            </w:tcMar>
          </w:tcPr>
          <w:p>
            <w:pPr>
              <w:spacing w:after="0"/>
            </w:pPr>
            <w:r>
              <w:rPr>
                <w:rFonts w:ascii="Calibri" w:hAnsi="Calibri"/>
                <w:b/>
                <w:color w:val="163A5A"/>
                <w:sz w:val="18"/>
              </w:rPr>
              <w:t>Exit condition</w:t>
            </w:r>
          </w:p>
        </w:tc>
      </w:tr>
      <w:tr>
        <w:trPr>
          <w:cantSplit/>
        </w:trPr>
        <w:tc>
          <w:tcPr>
            <w:tcW w:type="dxa" w:w="1500"/>
            <w:vAlign w:val="top"/>
            <w:tcMar>
              <w:top w:w="80" w:type="dxa"/>
              <w:start w:w="120" w:type="dxa"/>
              <w:bottom w:w="80" w:type="dxa"/>
              <w:end w:w="120" w:type="dxa"/>
            </w:tcMar>
          </w:tcPr>
          <w:p>
            <w:pPr>
              <w:spacing w:after="0" w:line="252" w:lineRule="auto"/>
            </w:pPr>
            <w:r>
              <w:rPr>
                <w:rFonts w:ascii="Calibri" w:hAnsi="Calibri"/>
                <w:color w:val="000000"/>
                <w:sz w:val="18"/>
              </w:rPr>
              <w:t>1. Foundation</w:t>
            </w:r>
          </w:p>
        </w:tc>
        <w:tc>
          <w:tcPr>
            <w:tcW w:type="dxa" w:w="4110"/>
            <w:vAlign w:val="top"/>
            <w:tcMar>
              <w:top w:w="80" w:type="dxa"/>
              <w:start w:w="120" w:type="dxa"/>
              <w:bottom w:w="80" w:type="dxa"/>
              <w:end w:w="120" w:type="dxa"/>
            </w:tcMar>
          </w:tcPr>
          <w:p>
            <w:pPr>
              <w:spacing w:after="0" w:line="252" w:lineRule="auto"/>
            </w:pPr>
            <w:r>
              <w:rPr>
                <w:rFonts w:ascii="Calibri" w:hAnsi="Calibri"/>
                <w:color w:val="000000"/>
                <w:sz w:val="18"/>
              </w:rPr>
              <w:t>Core schema, project states, storage, jobs, providers, costs and audit</w:t>
            </w:r>
          </w:p>
        </w:tc>
        <w:tc>
          <w:tcPr>
            <w:tcW w:type="dxa" w:w="3750"/>
            <w:vAlign w:val="top"/>
            <w:tcMar>
              <w:top w:w="80" w:type="dxa"/>
              <w:start w:w="120" w:type="dxa"/>
              <w:bottom w:w="80" w:type="dxa"/>
              <w:end w:w="120" w:type="dxa"/>
            </w:tcMar>
          </w:tcPr>
          <w:p>
            <w:pPr>
              <w:spacing w:after="0" w:line="252" w:lineRule="auto"/>
            </w:pPr>
            <w:r>
              <w:rPr>
                <w:rFonts w:ascii="Calibri" w:hAnsi="Calibri"/>
                <w:color w:val="000000"/>
                <w:sz w:val="18"/>
              </w:rPr>
              <w:t>Jobs survive restart; adapters pass contract tests</w:t>
            </w:r>
          </w:p>
        </w:tc>
      </w:tr>
      <w:tr>
        <w:trPr>
          <w:cantSplit/>
        </w:trPr>
        <w:tc>
          <w:tcPr>
            <w:tcW w:type="dxa" w:w="1500"/>
            <w:vAlign w:val="top"/>
            <w:tcMar>
              <w:top w:w="80" w:type="dxa"/>
              <w:start w:w="120" w:type="dxa"/>
              <w:bottom w:w="80" w:type="dxa"/>
              <w:end w:w="120" w:type="dxa"/>
            </w:tcMar>
          </w:tcPr>
          <w:p>
            <w:pPr>
              <w:spacing w:after="0" w:line="252" w:lineRule="auto"/>
            </w:pPr>
            <w:r>
              <w:rPr>
                <w:rFonts w:ascii="Calibri" w:hAnsi="Calibri"/>
                <w:color w:val="000000"/>
                <w:sz w:val="18"/>
              </w:rPr>
              <w:t>2. Brief + analysis</w:t>
            </w:r>
          </w:p>
        </w:tc>
        <w:tc>
          <w:tcPr>
            <w:tcW w:type="dxa" w:w="4110"/>
            <w:vAlign w:val="top"/>
            <w:tcMar>
              <w:top w:w="80" w:type="dxa"/>
              <w:start w:w="120" w:type="dxa"/>
              <w:bottom w:w="80" w:type="dxa"/>
              <w:end w:w="120" w:type="dxa"/>
            </w:tcMar>
          </w:tcPr>
          <w:p>
            <w:pPr>
              <w:spacing w:after="0" w:line="252" w:lineRule="auto"/>
            </w:pPr>
            <w:r>
              <w:rPr>
                <w:rFonts w:ascii="Calibri" w:hAnsi="Calibri"/>
                <w:color w:val="000000"/>
                <w:sz w:val="18"/>
              </w:rPr>
              <w:t>Idea intake and &lt;5-minute evidence extraction/analysis</w:t>
            </w:r>
          </w:p>
        </w:tc>
        <w:tc>
          <w:tcPr>
            <w:tcW w:type="dxa" w:w="3750"/>
            <w:vAlign w:val="top"/>
            <w:tcMar>
              <w:top w:w="80" w:type="dxa"/>
              <w:start w:w="120" w:type="dxa"/>
              <w:bottom w:w="80" w:type="dxa"/>
              <w:end w:w="120" w:type="dxa"/>
            </w:tcMar>
          </w:tcPr>
          <w:p>
            <w:pPr>
              <w:spacing w:after="0" w:line="252" w:lineRule="auto"/>
            </w:pPr>
            <w:r>
              <w:rPr>
                <w:rFonts w:ascii="Calibri" w:hAnsi="Calibri"/>
                <w:color w:val="000000"/>
                <w:sz w:val="18"/>
              </w:rPr>
              <w:t>Boundary and fixture tests pass</w:t>
            </w:r>
          </w:p>
        </w:tc>
      </w:tr>
      <w:tr>
        <w:trPr>
          <w:cantSplit/>
        </w:trPr>
        <w:tc>
          <w:tcPr>
            <w:tcW w:type="dxa" w:w="1500"/>
            <w:vAlign w:val="top"/>
            <w:tcMar>
              <w:top w:w="80" w:type="dxa"/>
              <w:start w:w="120" w:type="dxa"/>
              <w:bottom w:w="80" w:type="dxa"/>
              <w:end w:w="120" w:type="dxa"/>
            </w:tcMar>
          </w:tcPr>
          <w:p>
            <w:pPr>
              <w:spacing w:after="0" w:line="252" w:lineRule="auto"/>
            </w:pPr>
            <w:r>
              <w:rPr>
                <w:rFonts w:ascii="Calibri" w:hAnsi="Calibri"/>
                <w:color w:val="000000"/>
                <w:sz w:val="18"/>
              </w:rPr>
              <w:t>3. Story + dialogue</w:t>
            </w:r>
          </w:p>
        </w:tc>
        <w:tc>
          <w:tcPr>
            <w:tcW w:type="dxa" w:w="4110"/>
            <w:vAlign w:val="top"/>
            <w:tcMar>
              <w:top w:w="80" w:type="dxa"/>
              <w:start w:w="120" w:type="dxa"/>
              <w:bottom w:w="80" w:type="dxa"/>
              <w:end w:w="120" w:type="dxa"/>
            </w:tcMar>
          </w:tcPr>
          <w:p>
            <w:pPr>
              <w:spacing w:after="0" w:line="252" w:lineRule="auto"/>
            </w:pPr>
            <w:r>
              <w:rPr>
                <w:rFonts w:ascii="Calibri" w:hAnsi="Calibri"/>
                <w:color w:val="000000"/>
                <w:sz w:val="18"/>
              </w:rPr>
              <w:t>Story versions, bible, locks, Dialogue Room and quality gates</w:t>
            </w:r>
          </w:p>
        </w:tc>
        <w:tc>
          <w:tcPr>
            <w:tcW w:type="dxa" w:w="3750"/>
            <w:vAlign w:val="top"/>
            <w:tcMar>
              <w:top w:w="80" w:type="dxa"/>
              <w:start w:w="120" w:type="dxa"/>
              <w:bottom w:w="80" w:type="dxa"/>
              <w:end w:w="120" w:type="dxa"/>
            </w:tcMar>
          </w:tcPr>
          <w:p>
            <w:pPr>
              <w:spacing w:after="0" w:line="252" w:lineRule="auto"/>
            </w:pPr>
            <w:r>
              <w:rPr>
                <w:rFonts w:ascii="Calibri" w:hAnsi="Calibri"/>
                <w:color w:val="000000"/>
                <w:sz w:val="18"/>
              </w:rPr>
              <w:t>Approved dialogue cannot be silently changed</w:t>
            </w:r>
          </w:p>
        </w:tc>
      </w:tr>
      <w:tr>
        <w:trPr>
          <w:cantSplit/>
        </w:trPr>
        <w:tc>
          <w:tcPr>
            <w:tcW w:type="dxa" w:w="1500"/>
            <w:vAlign w:val="top"/>
            <w:tcMar>
              <w:top w:w="80" w:type="dxa"/>
              <w:start w:w="120" w:type="dxa"/>
              <w:bottom w:w="80" w:type="dxa"/>
              <w:end w:w="120" w:type="dxa"/>
            </w:tcMar>
          </w:tcPr>
          <w:p>
            <w:pPr>
              <w:spacing w:after="0" w:line="252" w:lineRule="auto"/>
            </w:pPr>
            <w:r>
              <w:rPr>
                <w:rFonts w:ascii="Calibri" w:hAnsi="Calibri"/>
                <w:color w:val="000000"/>
                <w:sz w:val="18"/>
              </w:rPr>
              <w:t>4. Scene production</w:t>
            </w:r>
          </w:p>
        </w:tc>
        <w:tc>
          <w:tcPr>
            <w:tcW w:type="dxa" w:w="4110"/>
            <w:vAlign w:val="top"/>
            <w:tcMar>
              <w:top w:w="80" w:type="dxa"/>
              <w:start w:w="120" w:type="dxa"/>
              <w:bottom w:w="80" w:type="dxa"/>
              <w:end w:w="120" w:type="dxa"/>
            </w:tcMar>
          </w:tcPr>
          <w:p>
            <w:pPr>
              <w:spacing w:after="0" w:line="252" w:lineRule="auto"/>
            </w:pPr>
            <w:r>
              <w:rPr>
                <w:rFonts w:ascii="Calibri" w:hAnsi="Calibri"/>
                <w:color w:val="000000"/>
                <w:sz w:val="18"/>
              </w:rPr>
              <w:t>Timeline, prompt compiler, model registry and FAL operations</w:t>
            </w:r>
          </w:p>
        </w:tc>
        <w:tc>
          <w:tcPr>
            <w:tcW w:type="dxa" w:w="3750"/>
            <w:vAlign w:val="top"/>
            <w:tcMar>
              <w:top w:w="80" w:type="dxa"/>
              <w:start w:w="120" w:type="dxa"/>
              <w:bottom w:w="80" w:type="dxa"/>
              <w:end w:w="120" w:type="dxa"/>
            </w:tcMar>
          </w:tcPr>
          <w:p>
            <w:pPr>
              <w:spacing w:after="0" w:line="252" w:lineRule="auto"/>
            </w:pPr>
            <w:r>
              <w:rPr>
                <w:rFonts w:ascii="Calibri" w:hAnsi="Calibri"/>
                <w:color w:val="000000"/>
                <w:sz w:val="18"/>
              </w:rPr>
              <w:t>One shot completes end-to-end</w:t>
            </w:r>
          </w:p>
        </w:tc>
      </w:tr>
      <w:tr>
        <w:trPr>
          <w:cantSplit/>
        </w:trPr>
        <w:tc>
          <w:tcPr>
            <w:tcW w:type="dxa" w:w="1500"/>
            <w:vAlign w:val="top"/>
            <w:tcMar>
              <w:top w:w="80" w:type="dxa"/>
              <w:start w:w="120" w:type="dxa"/>
              <w:bottom w:w="80" w:type="dxa"/>
              <w:end w:w="120" w:type="dxa"/>
            </w:tcMar>
          </w:tcPr>
          <w:p>
            <w:pPr>
              <w:spacing w:after="0" w:line="252" w:lineRule="auto"/>
            </w:pPr>
            <w:r>
              <w:rPr>
                <w:rFonts w:ascii="Calibri" w:hAnsi="Calibri"/>
                <w:color w:val="000000"/>
                <w:sz w:val="18"/>
              </w:rPr>
              <w:t>5. Critic + repair</w:t>
            </w:r>
          </w:p>
        </w:tc>
        <w:tc>
          <w:tcPr>
            <w:tcW w:type="dxa" w:w="4110"/>
            <w:vAlign w:val="top"/>
            <w:tcMar>
              <w:top w:w="80" w:type="dxa"/>
              <w:start w:w="120" w:type="dxa"/>
              <w:bottom w:w="80" w:type="dxa"/>
              <w:end w:w="120" w:type="dxa"/>
            </w:tcMar>
          </w:tcPr>
          <w:p>
            <w:pPr>
              <w:spacing w:after="0" w:line="252" w:lineRule="auto"/>
            </w:pPr>
            <w:r>
              <w:rPr>
                <w:rFonts w:ascii="Calibri" w:hAnsi="Calibri"/>
                <w:color w:val="000000"/>
                <w:sz w:val="18"/>
              </w:rPr>
              <w:t>Review queue, rubrics, targeted repair, retries and escalation</w:t>
            </w:r>
          </w:p>
        </w:tc>
        <w:tc>
          <w:tcPr>
            <w:tcW w:type="dxa" w:w="3750"/>
            <w:vAlign w:val="top"/>
            <w:tcMar>
              <w:top w:w="80" w:type="dxa"/>
              <w:start w:w="120" w:type="dxa"/>
              <w:bottom w:w="80" w:type="dxa"/>
              <w:end w:w="120" w:type="dxa"/>
            </w:tcMar>
          </w:tcPr>
          <w:p>
            <w:pPr>
              <w:spacing w:after="0" w:line="252" w:lineRule="auto"/>
            </w:pPr>
            <w:r>
              <w:rPr>
                <w:rFonts w:ascii="Calibri" w:hAnsi="Calibri"/>
                <w:color w:val="000000"/>
                <w:sz w:val="18"/>
              </w:rPr>
              <w:t>Failed shot repairs without rebuilding siblings</w:t>
            </w:r>
          </w:p>
        </w:tc>
      </w:tr>
      <w:tr>
        <w:trPr>
          <w:cantSplit/>
        </w:trPr>
        <w:tc>
          <w:tcPr>
            <w:tcW w:type="dxa" w:w="1500"/>
            <w:vAlign w:val="top"/>
            <w:tcMar>
              <w:top w:w="80" w:type="dxa"/>
              <w:start w:w="120" w:type="dxa"/>
              <w:bottom w:w="80" w:type="dxa"/>
              <w:end w:w="120" w:type="dxa"/>
            </w:tcMar>
          </w:tcPr>
          <w:p>
            <w:pPr>
              <w:spacing w:after="0" w:line="252" w:lineRule="auto"/>
            </w:pPr>
            <w:r>
              <w:rPr>
                <w:rFonts w:ascii="Calibri" w:hAnsi="Calibri"/>
                <w:color w:val="000000"/>
                <w:sz w:val="18"/>
              </w:rPr>
              <w:t>6. Final assembly</w:t>
            </w:r>
          </w:p>
        </w:tc>
        <w:tc>
          <w:tcPr>
            <w:tcW w:type="dxa" w:w="4110"/>
            <w:vAlign w:val="top"/>
            <w:tcMar>
              <w:top w:w="80" w:type="dxa"/>
              <w:start w:w="120" w:type="dxa"/>
              <w:bottom w:w="80" w:type="dxa"/>
              <w:end w:w="120" w:type="dxa"/>
            </w:tcMar>
          </w:tcPr>
          <w:p>
            <w:pPr>
              <w:spacing w:after="0" w:line="252" w:lineRule="auto"/>
            </w:pPr>
            <w:r>
              <w:rPr>
                <w:rFonts w:ascii="Calibri" w:hAnsi="Calibri"/>
                <w:color w:val="000000"/>
                <w:sz w:val="18"/>
              </w:rPr>
              <w:t>Audio/subtitles/timeline, FFmpeg render, QA and export manifest</w:t>
            </w:r>
          </w:p>
        </w:tc>
        <w:tc>
          <w:tcPr>
            <w:tcW w:type="dxa" w:w="3750"/>
            <w:vAlign w:val="top"/>
            <w:tcMar>
              <w:top w:w="80" w:type="dxa"/>
              <w:start w:w="120" w:type="dxa"/>
              <w:bottom w:w="80" w:type="dxa"/>
              <w:end w:w="120" w:type="dxa"/>
            </w:tcMar>
          </w:tcPr>
          <w:p>
            <w:pPr>
              <w:spacing w:after="0" w:line="252" w:lineRule="auto"/>
            </w:pPr>
            <w:r>
              <w:rPr>
                <w:rFonts w:ascii="Calibri" w:hAnsi="Calibri"/>
                <w:color w:val="000000"/>
                <w:sz w:val="18"/>
              </w:rPr>
              <w:t>Representative projects export successfully</w:t>
            </w:r>
          </w:p>
        </w:tc>
      </w:tr>
      <w:tr>
        <w:trPr>
          <w:cantSplit/>
        </w:trPr>
        <w:tc>
          <w:tcPr>
            <w:tcW w:type="dxa" w:w="1500"/>
            <w:vAlign w:val="top"/>
            <w:tcMar>
              <w:top w:w="80" w:type="dxa"/>
              <w:start w:w="120" w:type="dxa"/>
              <w:bottom w:w="80" w:type="dxa"/>
              <w:end w:w="120" w:type="dxa"/>
            </w:tcMar>
          </w:tcPr>
          <w:p>
            <w:pPr>
              <w:spacing w:after="0" w:line="252" w:lineRule="auto"/>
            </w:pPr>
            <w:r>
              <w:rPr>
                <w:rFonts w:ascii="Calibri" w:hAnsi="Calibri"/>
                <w:color w:val="000000"/>
                <w:sz w:val="18"/>
              </w:rPr>
              <w:t>7. Hardening</w:t>
            </w:r>
          </w:p>
        </w:tc>
        <w:tc>
          <w:tcPr>
            <w:tcW w:type="dxa" w:w="4110"/>
            <w:vAlign w:val="top"/>
            <w:tcMar>
              <w:top w:w="80" w:type="dxa"/>
              <w:start w:w="120" w:type="dxa"/>
              <w:bottom w:w="80" w:type="dxa"/>
              <w:end w:w="120" w:type="dxa"/>
            </w:tcMar>
          </w:tcPr>
          <w:p>
            <w:pPr>
              <w:spacing w:after="0" w:line="252" w:lineRule="auto"/>
            </w:pPr>
            <w:r>
              <w:rPr>
                <w:rFonts w:ascii="Calibri" w:hAnsi="Calibri"/>
                <w:color w:val="000000"/>
                <w:sz w:val="18"/>
              </w:rPr>
              <w:t>Role journeys, budgets, rate limits, resilience, security and observability</w:t>
            </w:r>
          </w:p>
        </w:tc>
        <w:tc>
          <w:tcPr>
            <w:tcW w:type="dxa" w:w="3750"/>
            <w:vAlign w:val="top"/>
            <w:tcMar>
              <w:top w:w="80" w:type="dxa"/>
              <w:start w:w="120" w:type="dxa"/>
              <w:bottom w:w="80" w:type="dxa"/>
              <w:end w:w="120" w:type="dxa"/>
            </w:tcMar>
          </w:tcPr>
          <w:p>
            <w:pPr>
              <w:spacing w:after="0" w:line="252" w:lineRule="auto"/>
            </w:pPr>
            <w:r>
              <w:rPr>
                <w:rFonts w:ascii="Calibri" w:hAnsi="Calibri"/>
                <w:color w:val="000000"/>
                <w:sz w:val="18"/>
              </w:rPr>
              <w:t>Release acceptance suite passes</w:t>
            </w:r>
          </w:p>
        </w:tc>
      </w:tr>
    </w:tbl>
    <w:p>
      <w:pPr>
        <w:spacing w:after="0"/>
      </w:pPr>
    </w:p>
    <w:p>
      <w:pPr>
        <w:pStyle w:val="Heading1"/>
      </w:pPr>
      <w:r>
        <w:t>16. Product decisions fixed by this document</w:t>
      </w:r>
    </w:p>
    <w:p>
      <w:pPr>
        <w:pStyle w:val="ListBullet"/>
        <w:spacing w:after="80" w:line="264" w:lineRule="auto"/>
      </w:pPr>
      <w:r>
        <w:rPr>
          <w:rFonts w:ascii="Calibri" w:hAnsi="Calibri"/>
        </w:rPr>
        <w:t>The existing Content tab remains the production workspace; story, media and review are not split into separate products.</w:t>
      </w:r>
    </w:p>
    <w:p>
      <w:pPr>
        <w:pStyle w:val="ListBullet"/>
        <w:spacing w:after="80" w:line="264" w:lineRule="auto"/>
      </w:pPr>
      <w:r>
        <w:rPr>
          <w:rFonts w:ascii="Calibri" w:hAnsi="Calibri"/>
        </w:rPr>
        <w:t>Reference-video analysis is limited to duration_ms &lt; 300000.</w:t>
      </w:r>
    </w:p>
    <w:p>
      <w:pPr>
        <w:pStyle w:val="ListBullet"/>
        <w:spacing w:after="80" w:line="264" w:lineRule="auto"/>
      </w:pPr>
      <w:r>
        <w:rPr>
          <w:rFonts w:ascii="Calibri" w:hAnsi="Calibri"/>
        </w:rPr>
        <w:t>MVP uses local evidence extraction plus OpenRouter analysis; direct raw-video cloud analysis is not mandatory.</w:t>
      </w:r>
    </w:p>
    <w:p>
      <w:pPr>
        <w:pStyle w:val="ListBullet"/>
        <w:spacing w:after="80" w:line="264" w:lineRule="auto"/>
      </w:pPr>
      <w:r>
        <w:rPr>
          <w:rFonts w:ascii="Calibri" w:hAnsi="Calibri"/>
        </w:rPr>
        <w:t>OpenRouter is the intelligence gateway and FAL AI is the primary media-generation gateway.</w:t>
      </w:r>
    </w:p>
    <w:p>
      <w:pPr>
        <w:pStyle w:val="ListBullet"/>
        <w:spacing w:after="80" w:line="264" w:lineRule="auto"/>
      </w:pPr>
      <w:r>
        <w:rPr>
          <w:rFonts w:ascii="Calibri" w:hAnsi="Calibri"/>
        </w:rPr>
        <w:t>The application owns creative objects, versions, model/LoRA policy, quality rubrics and repair history.</w:t>
      </w:r>
    </w:p>
    <w:p>
      <w:pPr>
        <w:pStyle w:val="ListBullet"/>
        <w:spacing w:after="80" w:line="264" w:lineRule="auto"/>
      </w:pPr>
      <w:r>
        <w:rPr>
          <w:rFonts w:ascii="Calibri" w:hAnsi="Calibri"/>
        </w:rPr>
        <w:t>There are four logical AI roles and one targeted repair loop, not many independent autonomous services.</w:t>
      </w:r>
    </w:p>
    <w:p>
      <w:pPr>
        <w:pStyle w:val="ListBullet"/>
        <w:spacing w:after="80" w:line="264" w:lineRule="auto"/>
      </w:pPr>
      <w:r>
        <w:rPr>
          <w:rFonts w:ascii="Calibri" w:hAnsi="Calibri"/>
        </w:rPr>
        <w:t>Only approved registry entries may be used for models and LoRAs.</w:t>
      </w:r>
    </w:p>
    <w:p>
      <w:pPr>
        <w:pStyle w:val="ListBullet"/>
        <w:spacing w:after="80" w:line="264" w:lineRule="auto"/>
      </w:pPr>
      <w:r>
        <w:rPr>
          <w:rFonts w:ascii="Calibri" w:hAnsi="Calibri"/>
        </w:rPr>
        <w:t>Automatic repair is limited to two attempts by default; the next action is human review or an explicit model switch.</w:t>
      </w:r>
    </w:p>
    <w:p>
      <w:pPr>
        <w:pStyle w:val="ListBullet"/>
        <w:spacing w:after="80" w:line="264" w:lineRule="auto"/>
      </w:pPr>
      <w:r>
        <w:rPr>
          <w:rFonts w:ascii="Calibri" w:hAnsi="Calibri"/>
        </w:rPr>
        <w:t>The architecture is a modular monolith with asynchronous workers, not a microservice or general workflow-platform build.</w:t>
      </w:r>
    </w:p>
    <w:p>
      <w:pPr>
        <w:pStyle w:val="Heading1"/>
      </w:pPr>
      <w:r>
        <w:t>17. Assumptions to validate during implementation</w:t>
      </w:r>
    </w:p>
    <w:p>
      <w:pPr>
        <w:pStyle w:val="ListBullet"/>
        <w:spacing w:after="80" w:line="264" w:lineRule="auto"/>
      </w:pPr>
      <w:r>
        <w:rPr>
          <w:rFonts w:ascii="Calibri" w:hAnsi="Calibri"/>
        </w:rPr>
        <w:t>The current application already provides project identity and an existing Content-tab route that can be extended.</w:t>
      </w:r>
    </w:p>
    <w:p>
      <w:pPr>
        <w:pStyle w:val="ListBullet"/>
        <w:spacing w:after="80" w:line="264" w:lineRule="auto"/>
      </w:pPr>
      <w:r>
        <w:rPr>
          <w:rFonts w:ascii="Calibri" w:hAnsi="Calibri"/>
        </w:rPr>
        <w:t>S3-compatible object storage, PostgreSQL and Redis are available or can be provisioned.</w:t>
      </w:r>
    </w:p>
    <w:p>
      <w:pPr>
        <w:pStyle w:val="ListBullet"/>
        <w:spacing w:after="80" w:line="264" w:lineRule="auto"/>
      </w:pPr>
      <w:r>
        <w:rPr>
          <w:rFonts w:ascii="Calibri" w:hAnsi="Calibri"/>
        </w:rPr>
        <w:t>Provider accounts and commercial-use decisions for chosen models will be configured before production use.</w:t>
      </w:r>
    </w:p>
    <w:p>
      <w:pPr>
        <w:pStyle w:val="ListBullet"/>
        <w:spacing w:after="80" w:line="264" w:lineRule="auto"/>
      </w:pPr>
      <w:r>
        <w:rPr>
          <w:rFonts w:ascii="Calibri" w:hAnsi="Calibri"/>
        </w:rPr>
        <w:t>Hindi/Sanskrit religious wording and pronunciation may require an approved human reviewer and approved audio library.</w:t>
      </w:r>
    </w:p>
    <w:p>
      <w:pPr>
        <w:pStyle w:val="ListBullet"/>
        <w:spacing w:after="80" w:line="264" w:lineRule="auto"/>
      </w:pPr>
      <w:r>
        <w:rPr>
          <w:rFonts w:ascii="Calibri" w:hAnsi="Calibri"/>
        </w:rPr>
        <w:t>Initial UI supports Owner and Reviewer; additional roles can be added without changing version/approval semantics.</w:t>
      </w:r>
    </w:p>
    <w:sectPr w:rsidR="00FC693F" w:rsidRPr="0006063C" w:rsidSect="00034616">
      <w:headerReference w:type="default" r:id="rId9"/>
      <w:footerReference w:type="default" r:id="rId10"/>
      <w:pgSz w:w="12240" w:h="15840"/>
      <w:pgMar w:top="1152" w:right="1440" w:bottom="1080" w:left="1440"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555555"/>
        <w:sz w:val="18"/>
      </w:rP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555555"/>
        <w:sz w:val="17"/>
      </w:rPr>
      <w:t>AI Content Production | Product Requirements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Calibri" w:hAnsi="Calibri"/>
      <w:b/>
      <w:bCs/>
      <w:color w:val="163A5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80"/>
    </w:pPr>
    <w:rPr>
      <w:rFonts w:asciiTheme="majorHAnsi" w:eastAsiaTheme="majorEastAsia" w:hAnsiTheme="majorHAnsi" w:cstheme="majorBidi" w:ascii="Calibri" w:hAnsi="Calibri"/>
      <w:i/>
      <w:iCs/>
      <w:color w:val="55555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4" w:lineRule="auto"/>
      <w:ind w:left="720" w:hanging="360"/>
      <w:contextualSpacing/>
    </w:pPr>
    <w:rPr>
      <w:rFonts w:ascii="Calibri" w:hAnsi="Calibri"/>
      <w:sz w:val="21"/>
    </w:rPr>
  </w:style>
  <w:style w:type="paragraph" w:styleId="ListBullet2">
    <w:name w:val="List Bullet 2"/>
    <w:basedOn w:val="Normal"/>
    <w:uiPriority w:val="99"/>
    <w:unhideWhenUsed/>
    <w:rsid w:val="00326F90"/>
    <w:pPr>
      <w:numPr>
        <w:numId w:val="2"/>
      </w:numPr>
      <w:spacing w:after="80" w:line="264" w:lineRule="auto"/>
      <w:ind w:left="1080" w:hanging="360"/>
      <w:contextualSpacing/>
    </w:pPr>
    <w:rPr>
      <w:rFonts w:ascii="Calibri" w:hAnsi="Calibri"/>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4" w:lineRule="auto"/>
      <w:ind w:left="720" w:hanging="360"/>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Content Production - Content Tab Product Requirements</dc:title>
  <dc:subject>Implementation requirements for idea/reference-to-video workflow</dc:subject>
  <dc:creator>Product Team</dc:creator>
  <cp:keywords>AI video, Content tab, OpenRouter, FAL AI, PRD</cp:keywords>
  <dc:description>Version 1.0</dc:description>
  <cp:lastModifiedBy/>
  <cp:revision>1</cp:revision>
  <dcterms:created xsi:type="dcterms:W3CDTF">2013-12-23T23:15:00Z</dcterms:created>
  <dcterms:modified xsi:type="dcterms:W3CDTF">2013-12-23T23:15:00Z</dcterms:modified>
  <cp:category/>
</cp:coreProperties>
</file>